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10D13256" w:rsidR="00EE4F36" w:rsidRPr="008403F3" w:rsidRDefault="00970E3A" w:rsidP="00EE4F36">
      <w:pPr>
        <w:pStyle w:val="Heading1"/>
        <w:jc w:val="center"/>
        <w:rPr>
          <w:rFonts w:eastAsia="Calibri" w:cstheme="minorHAnsi"/>
          <w:sz w:val="44"/>
          <w:szCs w:val="44"/>
        </w:rPr>
      </w:pPr>
      <w:r>
        <w:rPr>
          <w:rFonts w:eastAsia="Calibri" w:cstheme="minorHAnsi"/>
          <w:sz w:val="44"/>
          <w:szCs w:val="44"/>
        </w:rPr>
        <w:t>ENGR</w:t>
      </w:r>
      <w:r w:rsidR="005E326A">
        <w:rPr>
          <w:rFonts w:eastAsia="Calibri" w:cstheme="minorHAnsi"/>
          <w:sz w:val="44"/>
          <w:szCs w:val="44"/>
        </w:rPr>
        <w:t xml:space="preserve"> 110</w:t>
      </w:r>
      <w:r w:rsidR="00EE4F36" w:rsidRPr="008403F3">
        <w:rPr>
          <w:rFonts w:eastAsia="Calibri" w:cstheme="minorHAnsi"/>
          <w:sz w:val="44"/>
          <w:szCs w:val="44"/>
        </w:rPr>
        <w:t xml:space="preserve">: </w:t>
      </w:r>
      <w:r w:rsidR="00421551">
        <w:rPr>
          <w:rFonts w:eastAsia="Calibri" w:cstheme="minorHAnsi"/>
          <w:sz w:val="44"/>
          <w:szCs w:val="44"/>
        </w:rPr>
        <w:t>Introduction to Engineering</w:t>
      </w:r>
      <w:r w:rsidR="005E326A">
        <w:rPr>
          <w:rFonts w:eastAsia="Calibri" w:cstheme="minorHAnsi"/>
          <w:sz w:val="44"/>
          <w:szCs w:val="44"/>
        </w:rPr>
        <w:t>: Modeling and Analysis</w:t>
      </w:r>
    </w:p>
    <w:p w14:paraId="2797DA75" w14:textId="32EEFF9C"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5E326A">
        <w:rPr>
          <w:rStyle w:val="Heading2Char"/>
          <w:color w:val="000000" w:themeColor="text1"/>
        </w:rPr>
        <w:t>Winter</w:t>
      </w:r>
      <w:r w:rsidRPr="008403F3">
        <w:rPr>
          <w:rStyle w:val="Heading2Char"/>
          <w:color w:val="000000" w:themeColor="text1"/>
        </w:rPr>
        <w:t xml:space="preserve"> 20</w:t>
      </w:r>
      <w:r w:rsidR="005E326A">
        <w:rPr>
          <w:rStyle w:val="Heading2Char"/>
          <w:color w:val="000000" w:themeColor="text1"/>
        </w:rPr>
        <w:t>20</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F5784D"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77777777" w:rsidR="00F66495" w:rsidRDefault="009B13D8">
      <w:pPr>
        <w:spacing w:after="23"/>
        <w:ind w:left="393" w:right="390"/>
        <w:jc w:val="center"/>
        <w:rPr>
          <w:rFonts w:ascii="Cambria"/>
          <w:i/>
          <w:sz w:val="24"/>
        </w:rPr>
      </w:pPr>
      <w:r>
        <w:rPr>
          <w:rFonts w:ascii="Cambria"/>
          <w:i/>
          <w:color w:val="FF0000"/>
          <w:sz w:val="24"/>
        </w:rPr>
        <w:t>Through education, Northwest Indian College promotes indigenous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2C4D1156" w:rsidR="00F66495" w:rsidRDefault="009B13D8">
      <w:pPr>
        <w:spacing w:before="100"/>
        <w:ind w:left="220"/>
        <w:rPr>
          <w:rFonts w:ascii="Cambria"/>
          <w:sz w:val="24"/>
        </w:rPr>
      </w:pPr>
      <w:r>
        <w:rPr>
          <w:rFonts w:ascii="Cambria"/>
          <w:b/>
          <w:sz w:val="24"/>
        </w:rPr>
        <w:t xml:space="preserve">Course Prerequisites: </w:t>
      </w:r>
      <w:r w:rsidR="00483604">
        <w:rPr>
          <w:rFonts w:ascii="Cambria"/>
          <w:sz w:val="24"/>
        </w:rPr>
        <w:t>ENGR 100</w:t>
      </w:r>
      <w:r w:rsidR="00AE2D85">
        <w:rPr>
          <w:rFonts w:ascii="Cambria"/>
          <w:sz w:val="24"/>
        </w:rPr>
        <w:t>, CMPS 101</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0DF34F6B" w:rsidR="00F66495" w:rsidRDefault="00421551">
      <w:pPr>
        <w:pStyle w:val="BodyText"/>
        <w:tabs>
          <w:tab w:val="left" w:pos="5261"/>
        </w:tabs>
        <w:spacing w:line="281" w:lineRule="exact"/>
        <w:ind w:left="220"/>
        <w:rPr>
          <w:rFonts w:ascii="Cambria"/>
        </w:rPr>
      </w:pPr>
      <w:r w:rsidRPr="00421551">
        <w:rPr>
          <w:sz w:val="22"/>
        </w:rPr>
        <w:t>Thinking Like an Engineer: An Active Learning Approach</w:t>
      </w:r>
      <w:r w:rsidR="003A5FFE">
        <w:rPr>
          <w:rFonts w:ascii="Cambria"/>
        </w:rPr>
        <w:t>.</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02A79085" w14:textId="4C54FF6E" w:rsidR="005E0D3F" w:rsidRPr="00A35DDA" w:rsidRDefault="00F82536" w:rsidP="00A35DDA">
      <w:pPr>
        <w:pStyle w:val="BodyText"/>
        <w:tabs>
          <w:tab w:val="left" w:pos="5261"/>
        </w:tabs>
        <w:spacing w:line="281" w:lineRule="exact"/>
        <w:ind w:left="220"/>
        <w:rPr>
          <w:rFonts w:ascii="Cambria"/>
        </w:rPr>
      </w:pPr>
      <w:r>
        <w:rPr>
          <w:rFonts w:ascii="Cambria"/>
        </w:rPr>
        <w:t>P</w:t>
      </w:r>
      <w:r w:rsidR="005E0D3F" w:rsidRPr="005E0D3F">
        <w:rPr>
          <w:rFonts w:ascii="Cambria"/>
        </w:rPr>
        <w:t>roject-based introduction t</w:t>
      </w:r>
      <w:r w:rsidR="00F5784D">
        <w:rPr>
          <w:rFonts w:ascii="Cambria"/>
        </w:rPr>
        <w:t>o engineering analysis, problem-</w:t>
      </w:r>
      <w:r w:rsidR="005E0D3F" w:rsidRPr="005E0D3F">
        <w:rPr>
          <w:rFonts w:ascii="Cambria"/>
        </w:rPr>
        <w:t>solving</w:t>
      </w:r>
      <w:r w:rsidR="00F5784D">
        <w:rPr>
          <w:rFonts w:ascii="Cambria"/>
        </w:rPr>
        <w:t>,</w:t>
      </w:r>
      <w:r w:rsidR="005E0D3F" w:rsidRPr="005E0D3F">
        <w:rPr>
          <w:rFonts w:ascii="Cambria"/>
        </w:rPr>
        <w:t xml:space="preserve"> and mathematical modeling. Working in teams, students will complete a series of hands-on projects designed to emphasize a systematic, analytical problem solving approach and explore the engineering disciplines at a technical level. Topics include: introductory engineering concepts, engineering for sustainability, teamwork skills, the application of mathematics, physics, and chemist</w:t>
      </w:r>
      <w:r w:rsidR="0036015D">
        <w:rPr>
          <w:rFonts w:ascii="Cambria"/>
        </w:rPr>
        <w:t>ry</w:t>
      </w:r>
      <w:r w:rsidR="00F5784D">
        <w:rPr>
          <w:rFonts w:ascii="Cambria"/>
        </w:rPr>
        <w:t xml:space="preserve"> in engineering</w:t>
      </w:r>
      <w:bookmarkStart w:id="0" w:name="_GoBack"/>
      <w:bookmarkEnd w:id="0"/>
      <w:r w:rsidR="0036015D">
        <w:rPr>
          <w:rFonts w:ascii="Cambria"/>
        </w:rPr>
        <w:t>.</w:t>
      </w:r>
    </w:p>
    <w:p w14:paraId="7E092E76" w14:textId="77777777" w:rsidR="00F66495" w:rsidRDefault="00F66495">
      <w:pPr>
        <w:pStyle w:val="BodyText"/>
        <w:spacing w:before="10"/>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1DC0B935" w14:textId="2E35B90D" w:rsidR="003758E5" w:rsidRDefault="003758E5" w:rsidP="003758E5">
      <w:pPr>
        <w:pStyle w:val="Heading1"/>
        <w:spacing w:line="281" w:lineRule="exact"/>
        <w:rPr>
          <w:rFonts w:ascii="Cambria"/>
        </w:rPr>
      </w:pPr>
      <w:r>
        <w:rPr>
          <w:rFonts w:ascii="Cambria"/>
        </w:rPr>
        <w:t>At the completion of this course students will be able to:</w:t>
      </w:r>
    </w:p>
    <w:p w14:paraId="604FA4CC"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Investigate relationships between physical quantities by applying dimensional and unit analysis</w:t>
      </w:r>
    </w:p>
    <w:p w14:paraId="6A720078"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Manipulate mathematical models to analyze sensitivity of a system to changes in one or more variables</w:t>
      </w:r>
    </w:p>
    <w:p w14:paraId="3288FE0C"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Use estimation to make order of magnitude calculations in the absence of data</w:t>
      </w:r>
    </w:p>
    <w:p w14:paraId="4C86CEE7"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Properly apply the rules for handling significant figures in arithmetic</w:t>
      </w:r>
    </w:p>
    <w:p w14:paraId="6ABC44C3"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Prepare and interpret graphs following accepted standards in engineering and science</w:t>
      </w:r>
    </w:p>
    <w:p w14:paraId="45D23151"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Demonstrate application of engineering problem solving processes</w:t>
      </w:r>
    </w:p>
    <w:p w14:paraId="2BBAB80F" w14:textId="77777777"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Describe elements of the engineering design process</w:t>
      </w:r>
    </w:p>
    <w:p w14:paraId="3533E3CD" w14:textId="302E1401" w:rsidR="005E326A" w:rsidRPr="005E326A" w:rsidRDefault="005E326A" w:rsidP="005E326A">
      <w:pPr>
        <w:pStyle w:val="NormalWeb"/>
        <w:numPr>
          <w:ilvl w:val="0"/>
          <w:numId w:val="6"/>
        </w:numPr>
        <w:spacing w:before="0" w:beforeAutospacing="0" w:after="0" w:afterAutospacing="0"/>
        <w:textAlignment w:val="baseline"/>
        <w:rPr>
          <w:rFonts w:ascii="Cambria" w:eastAsia="Times New Roman"/>
          <w:sz w:val="24"/>
          <w:szCs w:val="24"/>
          <w:lang w:bidi="en-US"/>
        </w:rPr>
      </w:pPr>
      <w:r w:rsidRPr="005E326A">
        <w:rPr>
          <w:rFonts w:ascii="Cambria" w:eastAsia="Times New Roman"/>
          <w:sz w:val="24"/>
          <w:szCs w:val="24"/>
          <w:lang w:bidi="en-US"/>
        </w:rPr>
        <w:t>Participate in functional project teams</w:t>
      </w:r>
    </w:p>
    <w:p w14:paraId="3D8C1ADE" w14:textId="77777777" w:rsidR="002D592C" w:rsidRDefault="002D592C" w:rsidP="002D592C">
      <w:pPr>
        <w:pStyle w:val="NormalWeb"/>
        <w:spacing w:before="0" w:beforeAutospacing="0" w:after="0" w:afterAutospacing="0"/>
        <w:ind w:left="720"/>
        <w:textAlignment w:val="baseline"/>
        <w:rPr>
          <w:rFonts w:ascii="Cambria" w:eastAsia="Times New Roman"/>
          <w:sz w:val="24"/>
          <w:szCs w:val="24"/>
          <w:lang w:bidi="en-US"/>
        </w:rPr>
      </w:pPr>
    </w:p>
    <w:p w14:paraId="3B172655" w14:textId="77777777" w:rsidR="000C6E8F" w:rsidRPr="000210FE" w:rsidRDefault="000C6E8F" w:rsidP="002D592C">
      <w:pPr>
        <w:pStyle w:val="NormalWeb"/>
        <w:spacing w:before="0" w:beforeAutospacing="0" w:after="0" w:afterAutospacing="0"/>
        <w:ind w:left="720"/>
        <w:textAlignment w:val="baseline"/>
        <w:rPr>
          <w:rFonts w:ascii="Cambria" w:eastAsia="Times New Roman"/>
          <w:sz w:val="24"/>
          <w:szCs w:val="24"/>
          <w:lang w:bidi="en-US"/>
        </w:rPr>
      </w:pPr>
    </w:p>
    <w:p w14:paraId="01BCA3A6" w14:textId="6549BBF7" w:rsidR="00F66495" w:rsidRDefault="009B13D8">
      <w:pPr>
        <w:pStyle w:val="Heading1"/>
        <w:spacing w:before="1" w:line="281" w:lineRule="exact"/>
        <w:rPr>
          <w:rFonts w:ascii="Cambria"/>
        </w:rPr>
      </w:pPr>
      <w:r>
        <w:rPr>
          <w:rFonts w:ascii="Cambria"/>
          <w:u w:val="single"/>
        </w:rPr>
        <w:lastRenderedPageBreak/>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60"/>
      </w:tblGrid>
      <w:tr w:rsidR="00F66495" w14:paraId="216BE8AD" w14:textId="77777777">
        <w:trPr>
          <w:trHeight w:val="280"/>
        </w:trPr>
        <w:tc>
          <w:tcPr>
            <w:tcW w:w="3260" w:type="dxa"/>
          </w:tcPr>
          <w:p w14:paraId="528B95BE" w14:textId="566CDCCC" w:rsidR="00F66495" w:rsidRDefault="00A10D10">
            <w:pPr>
              <w:pStyle w:val="TableParagraph"/>
              <w:spacing w:line="260" w:lineRule="exact"/>
              <w:rPr>
                <w:sz w:val="24"/>
              </w:rPr>
            </w:pPr>
            <w:r>
              <w:rPr>
                <w:sz w:val="24"/>
              </w:rPr>
              <w:t>Homework</w:t>
            </w:r>
          </w:p>
        </w:tc>
        <w:tc>
          <w:tcPr>
            <w:tcW w:w="1260" w:type="dxa"/>
          </w:tcPr>
          <w:p w14:paraId="4FFC6999" w14:textId="4048025B" w:rsidR="00F66495" w:rsidRDefault="0075516B">
            <w:pPr>
              <w:pStyle w:val="TableParagraph"/>
              <w:spacing w:line="260" w:lineRule="exact"/>
              <w:ind w:left="105"/>
              <w:rPr>
                <w:sz w:val="24"/>
              </w:rPr>
            </w:pPr>
            <w:r>
              <w:rPr>
                <w:sz w:val="24"/>
              </w:rPr>
              <w:t>20</w:t>
            </w:r>
            <w:r w:rsidR="00A10D10">
              <w:rPr>
                <w:sz w:val="24"/>
              </w:rPr>
              <w:t>%</w:t>
            </w:r>
          </w:p>
        </w:tc>
      </w:tr>
      <w:tr w:rsidR="00F66495" w14:paraId="16198F93" w14:textId="77777777">
        <w:trPr>
          <w:trHeight w:val="282"/>
        </w:trPr>
        <w:tc>
          <w:tcPr>
            <w:tcW w:w="3260" w:type="dxa"/>
          </w:tcPr>
          <w:p w14:paraId="43CA035F" w14:textId="4C197BCA" w:rsidR="00F66495" w:rsidRDefault="00A10D10" w:rsidP="00035ABE">
            <w:pPr>
              <w:pStyle w:val="TableParagraph"/>
              <w:spacing w:line="263" w:lineRule="exact"/>
              <w:rPr>
                <w:sz w:val="24"/>
              </w:rPr>
            </w:pPr>
            <w:r>
              <w:rPr>
                <w:sz w:val="24"/>
              </w:rPr>
              <w:t>P</w:t>
            </w:r>
            <w:r w:rsidR="00035ABE">
              <w:rPr>
                <w:sz w:val="24"/>
              </w:rPr>
              <w:t>rojects</w:t>
            </w:r>
          </w:p>
        </w:tc>
        <w:tc>
          <w:tcPr>
            <w:tcW w:w="1260" w:type="dxa"/>
          </w:tcPr>
          <w:p w14:paraId="37F03B23" w14:textId="37A295EE" w:rsidR="00F66495" w:rsidRDefault="00035ABE">
            <w:pPr>
              <w:pStyle w:val="TableParagraph"/>
              <w:spacing w:line="263" w:lineRule="exact"/>
              <w:ind w:left="105"/>
              <w:rPr>
                <w:sz w:val="24"/>
              </w:rPr>
            </w:pPr>
            <w:r>
              <w:rPr>
                <w:sz w:val="24"/>
              </w:rPr>
              <w:t>4</w:t>
            </w:r>
            <w:r w:rsidR="009B13D8">
              <w:rPr>
                <w:sz w:val="24"/>
              </w:rPr>
              <w:t>0%</w:t>
            </w:r>
          </w:p>
        </w:tc>
      </w:tr>
      <w:tr w:rsidR="00F66495" w14:paraId="79835711" w14:textId="77777777">
        <w:trPr>
          <w:trHeight w:val="280"/>
        </w:trPr>
        <w:tc>
          <w:tcPr>
            <w:tcW w:w="3260" w:type="dxa"/>
          </w:tcPr>
          <w:p w14:paraId="6DA5B66B" w14:textId="7EC7A6E5" w:rsidR="00F66495" w:rsidRDefault="00A10D10">
            <w:pPr>
              <w:pStyle w:val="TableParagraph"/>
              <w:spacing w:line="260" w:lineRule="exact"/>
              <w:rPr>
                <w:sz w:val="24"/>
              </w:rPr>
            </w:pPr>
            <w:r>
              <w:rPr>
                <w:sz w:val="24"/>
              </w:rPr>
              <w:t>Quizzes</w:t>
            </w:r>
          </w:p>
        </w:tc>
        <w:tc>
          <w:tcPr>
            <w:tcW w:w="1260" w:type="dxa"/>
          </w:tcPr>
          <w:p w14:paraId="095413AC" w14:textId="0D43B753" w:rsidR="00F66495" w:rsidRDefault="00035ABE">
            <w:pPr>
              <w:pStyle w:val="TableParagraph"/>
              <w:spacing w:line="260" w:lineRule="exact"/>
              <w:ind w:left="105"/>
              <w:rPr>
                <w:sz w:val="24"/>
              </w:rPr>
            </w:pPr>
            <w:r>
              <w:rPr>
                <w:sz w:val="24"/>
              </w:rPr>
              <w:t>2</w:t>
            </w:r>
            <w:r w:rsidR="00A10D10">
              <w:rPr>
                <w:sz w:val="24"/>
              </w:rPr>
              <w:t>5</w:t>
            </w:r>
            <w:r w:rsidR="009B13D8">
              <w:rPr>
                <w:sz w:val="24"/>
              </w:rPr>
              <w:t>%</w:t>
            </w:r>
          </w:p>
        </w:tc>
      </w:tr>
      <w:tr w:rsidR="00A10D10" w14:paraId="0DD413A5" w14:textId="77777777">
        <w:trPr>
          <w:trHeight w:val="280"/>
        </w:trPr>
        <w:tc>
          <w:tcPr>
            <w:tcW w:w="3260" w:type="dxa"/>
          </w:tcPr>
          <w:p w14:paraId="77A4B3E4" w14:textId="40E909E8" w:rsidR="00A10D10" w:rsidRDefault="00035ABE">
            <w:pPr>
              <w:pStyle w:val="TableParagraph"/>
              <w:spacing w:line="260" w:lineRule="exact"/>
              <w:rPr>
                <w:sz w:val="24"/>
              </w:rPr>
            </w:pPr>
            <w:r>
              <w:rPr>
                <w:sz w:val="24"/>
              </w:rPr>
              <w:t>Homework Binder</w:t>
            </w:r>
          </w:p>
        </w:tc>
        <w:tc>
          <w:tcPr>
            <w:tcW w:w="1260" w:type="dxa"/>
          </w:tcPr>
          <w:p w14:paraId="04961C9B" w14:textId="61E59DF1" w:rsidR="00A10D10" w:rsidRDefault="0046690B">
            <w:pPr>
              <w:pStyle w:val="TableParagraph"/>
              <w:spacing w:line="260" w:lineRule="exact"/>
              <w:ind w:left="105"/>
              <w:rPr>
                <w:sz w:val="24"/>
              </w:rPr>
            </w:pPr>
            <w:r>
              <w:rPr>
                <w:sz w:val="24"/>
              </w:rPr>
              <w:t>5%</w:t>
            </w:r>
          </w:p>
        </w:tc>
      </w:tr>
      <w:tr w:rsidR="00A10D10" w14:paraId="4C8401D5" w14:textId="77777777">
        <w:trPr>
          <w:trHeight w:val="280"/>
        </w:trPr>
        <w:tc>
          <w:tcPr>
            <w:tcW w:w="3260" w:type="dxa"/>
          </w:tcPr>
          <w:p w14:paraId="6DB013E6" w14:textId="459A3781" w:rsidR="00A10D10" w:rsidRDefault="00035ABE">
            <w:pPr>
              <w:pStyle w:val="TableParagraph"/>
              <w:spacing w:line="260" w:lineRule="exact"/>
              <w:rPr>
                <w:sz w:val="24"/>
              </w:rPr>
            </w:pPr>
            <w:r>
              <w:rPr>
                <w:sz w:val="24"/>
              </w:rPr>
              <w:t>Class Participation</w:t>
            </w:r>
          </w:p>
        </w:tc>
        <w:tc>
          <w:tcPr>
            <w:tcW w:w="1260" w:type="dxa"/>
          </w:tcPr>
          <w:p w14:paraId="16F83E8A" w14:textId="5C03B3BD" w:rsidR="00A10D10" w:rsidRDefault="0046690B">
            <w:pPr>
              <w:pStyle w:val="TableParagraph"/>
              <w:spacing w:line="260" w:lineRule="exact"/>
              <w:ind w:left="105"/>
              <w:rPr>
                <w:sz w:val="24"/>
              </w:rPr>
            </w:pPr>
            <w:r>
              <w:rPr>
                <w:sz w:val="24"/>
              </w:rPr>
              <w:t>10%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0C935127" w14:textId="0F088F44" w:rsidR="00035ABE" w:rsidRPr="00035ABE" w:rsidRDefault="00035ABE" w:rsidP="00035ABE">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Pr>
          <w:rFonts w:eastAsia="Times New Roman" w:hAnsi="Times New Roman" w:cs="Times New Roman"/>
          <w:sz w:val="24"/>
          <w:szCs w:val="24"/>
        </w:rPr>
        <w:t xml:space="preserve">Homework </w:t>
      </w:r>
      <w:r>
        <w:rPr>
          <w:rFonts w:eastAsia="Times New Roman" w:hAnsi="Times New Roman" w:cs="Times New Roman"/>
          <w:sz w:val="24"/>
          <w:szCs w:val="24"/>
        </w:rPr>
        <w:t>–</w:t>
      </w:r>
      <w:r>
        <w:rPr>
          <w:rFonts w:eastAsia="Times New Roman" w:hAnsi="Times New Roman" w:cs="Times New Roman"/>
          <w:sz w:val="24"/>
          <w:szCs w:val="24"/>
        </w:rPr>
        <w:t xml:space="preserve"> </w:t>
      </w:r>
      <w:r w:rsidRPr="00035ABE">
        <w:rPr>
          <w:rFonts w:eastAsia="Times New Roman" w:hAnsi="Times New Roman" w:cs="Times New Roman"/>
          <w:sz w:val="24"/>
          <w:szCs w:val="24"/>
        </w:rPr>
        <w:t xml:space="preserve">Students will be using Microsoft Excel and MATLAB R2008A for homework. One homework assignment will be accepted late one day late. All other late assignments will receive a 10% deduction for each late day past the due date. weight </w:t>
      </w:r>
      <w:r w:rsidRPr="00035ABE">
        <w:rPr>
          <w:rFonts w:eastAsia="Times New Roman" w:hAnsi="Times New Roman" w:cs="Times New Roman"/>
          <w:sz w:val="24"/>
          <w:szCs w:val="24"/>
        </w:rPr>
        <w:t>–</w:t>
      </w:r>
      <w:r w:rsidRPr="00035ABE">
        <w:rPr>
          <w:rFonts w:eastAsia="Times New Roman" w:hAnsi="Times New Roman" w:cs="Times New Roman"/>
          <w:sz w:val="24"/>
          <w:szCs w:val="24"/>
        </w:rPr>
        <w:t xml:space="preserve"> 20% </w:t>
      </w:r>
    </w:p>
    <w:p w14:paraId="0A9CF307" w14:textId="77777777" w:rsidR="00035ABE" w:rsidRPr="00035ABE" w:rsidRDefault="00035ABE" w:rsidP="00035ABE">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035ABE">
        <w:rPr>
          <w:rFonts w:eastAsia="Times New Roman" w:hAnsi="Times New Roman" w:cs="Times New Roman"/>
          <w:sz w:val="24"/>
          <w:szCs w:val="24"/>
        </w:rPr>
        <w:t xml:space="preserve">Projects </w:t>
      </w:r>
      <w:r w:rsidRPr="00035ABE">
        <w:rPr>
          <w:rFonts w:eastAsia="Times New Roman" w:hAnsi="Times New Roman" w:cs="Times New Roman"/>
          <w:sz w:val="24"/>
          <w:szCs w:val="24"/>
        </w:rPr>
        <w:t>–</w:t>
      </w:r>
      <w:r w:rsidRPr="00035ABE">
        <w:rPr>
          <w:rFonts w:eastAsia="Times New Roman" w:hAnsi="Times New Roman" w:cs="Times New Roman"/>
          <w:sz w:val="24"/>
          <w:szCs w:val="24"/>
        </w:rPr>
        <w:t xml:space="preserve"> There will be an individual Arduino projects assigned throughout the quarter. Each student will be required to submit a video for each individual project assigned showing completion of the project. There will also be a final individual MATLAB project and a final group Arduino project. </w:t>
      </w:r>
      <w:r w:rsidRPr="00035ABE">
        <w:rPr>
          <w:rFonts w:eastAsia="Times New Roman" w:hAnsi="Times New Roman" w:cs="Times New Roman"/>
          <w:sz w:val="24"/>
          <w:szCs w:val="24"/>
        </w:rPr>
        <w:t>–</w:t>
      </w:r>
      <w:r w:rsidRPr="00035ABE">
        <w:rPr>
          <w:rFonts w:eastAsia="Times New Roman" w:hAnsi="Times New Roman" w:cs="Times New Roman"/>
          <w:sz w:val="24"/>
          <w:szCs w:val="24"/>
        </w:rPr>
        <w:t xml:space="preserve"> 40%</w:t>
      </w:r>
    </w:p>
    <w:p w14:paraId="42240D50" w14:textId="77777777" w:rsidR="00035ABE" w:rsidRPr="00035ABE" w:rsidRDefault="00035ABE" w:rsidP="00035ABE">
      <w:pPr>
        <w:widowControl/>
        <w:numPr>
          <w:ilvl w:val="1"/>
          <w:numId w:val="9"/>
        </w:numPr>
        <w:autoSpaceDE/>
        <w:autoSpaceDN/>
        <w:spacing w:before="100" w:beforeAutospacing="1" w:after="100" w:afterAutospacing="1"/>
        <w:ind w:left="720"/>
        <w:rPr>
          <w:rFonts w:ascii="Cambria"/>
          <w:sz w:val="24"/>
          <w:szCs w:val="24"/>
        </w:rPr>
      </w:pPr>
      <w:r w:rsidRPr="00035ABE">
        <w:rPr>
          <w:rFonts w:ascii="Cambria"/>
          <w:sz w:val="24"/>
          <w:szCs w:val="24"/>
        </w:rPr>
        <w:t xml:space="preserve">Quizzes </w:t>
      </w:r>
      <w:r w:rsidRPr="00035ABE">
        <w:rPr>
          <w:rFonts w:ascii="Cambria"/>
          <w:sz w:val="24"/>
          <w:szCs w:val="24"/>
        </w:rPr>
        <w:t>–</w:t>
      </w:r>
      <w:r w:rsidRPr="00035ABE">
        <w:rPr>
          <w:rFonts w:ascii="Cambria"/>
          <w:sz w:val="24"/>
          <w:szCs w:val="24"/>
        </w:rPr>
        <w:t xml:space="preserve"> There will be daily quizzes on the course website based on the previous lecture. Quizzes will be given during the first 10 minutes of class, so be on time. A code will be given at the beginning of class to unlock the quiz; you MUST be in class to receive credit. No make-up quizzes will be given, but the lowest score will be dropped. weight </w:t>
      </w:r>
      <w:r w:rsidRPr="00035ABE">
        <w:rPr>
          <w:rFonts w:ascii="Cambria"/>
          <w:sz w:val="24"/>
          <w:szCs w:val="24"/>
        </w:rPr>
        <w:t>–</w:t>
      </w:r>
      <w:r w:rsidRPr="00035ABE">
        <w:rPr>
          <w:rFonts w:ascii="Cambria"/>
          <w:sz w:val="24"/>
          <w:szCs w:val="24"/>
        </w:rPr>
        <w:t xml:space="preserve"> 25%</w:t>
      </w:r>
    </w:p>
    <w:p w14:paraId="7C1F919F" w14:textId="77777777" w:rsidR="00035ABE" w:rsidRPr="00035ABE" w:rsidRDefault="00035ABE" w:rsidP="00035ABE">
      <w:pPr>
        <w:widowControl/>
        <w:numPr>
          <w:ilvl w:val="1"/>
          <w:numId w:val="9"/>
        </w:numPr>
        <w:autoSpaceDE/>
        <w:autoSpaceDN/>
        <w:spacing w:before="100" w:beforeAutospacing="1" w:after="100" w:afterAutospacing="1"/>
        <w:ind w:left="720"/>
        <w:rPr>
          <w:rFonts w:ascii="Cambria"/>
          <w:sz w:val="24"/>
          <w:szCs w:val="24"/>
        </w:rPr>
      </w:pPr>
      <w:r w:rsidRPr="00035ABE">
        <w:rPr>
          <w:rFonts w:ascii="Cambria"/>
          <w:sz w:val="24"/>
          <w:szCs w:val="24"/>
        </w:rPr>
        <w:lastRenderedPageBreak/>
        <w:t xml:space="preserve">Homework Binder </w:t>
      </w:r>
      <w:r w:rsidRPr="00035ABE">
        <w:rPr>
          <w:rFonts w:ascii="Cambria"/>
          <w:sz w:val="24"/>
          <w:szCs w:val="24"/>
        </w:rPr>
        <w:t>–</w:t>
      </w:r>
      <w:r w:rsidRPr="00035ABE">
        <w:rPr>
          <w:rFonts w:ascii="Cambria"/>
          <w:sz w:val="24"/>
          <w:szCs w:val="24"/>
        </w:rPr>
        <w:t xml:space="preserve"> Each student will be required to keep a digital </w:t>
      </w:r>
      <w:r w:rsidRPr="00035ABE">
        <w:rPr>
          <w:rFonts w:ascii="Cambria"/>
          <w:sz w:val="24"/>
          <w:szCs w:val="24"/>
        </w:rPr>
        <w:t>‘</w:t>
      </w:r>
      <w:r w:rsidRPr="00035ABE">
        <w:rPr>
          <w:rFonts w:ascii="Cambria"/>
          <w:sz w:val="24"/>
          <w:szCs w:val="24"/>
        </w:rPr>
        <w:t>binder</w:t>
      </w:r>
      <w:r w:rsidRPr="00035ABE">
        <w:rPr>
          <w:rFonts w:ascii="Cambria"/>
          <w:sz w:val="24"/>
          <w:szCs w:val="24"/>
        </w:rPr>
        <w:t>’</w:t>
      </w:r>
      <w:r w:rsidRPr="00035ABE">
        <w:rPr>
          <w:rFonts w:ascii="Cambria"/>
          <w:sz w:val="24"/>
          <w:szCs w:val="24"/>
        </w:rPr>
        <w:t xml:space="preserve"> with all notes and completed assignments. Your binder will be checked for completeness throughout the quarter. weight </w:t>
      </w:r>
      <w:r w:rsidRPr="00035ABE">
        <w:rPr>
          <w:rFonts w:ascii="Cambria"/>
          <w:sz w:val="24"/>
          <w:szCs w:val="24"/>
        </w:rPr>
        <w:t>–</w:t>
      </w:r>
      <w:r w:rsidRPr="00035ABE">
        <w:rPr>
          <w:rFonts w:ascii="Cambria"/>
          <w:sz w:val="24"/>
          <w:szCs w:val="24"/>
        </w:rPr>
        <w:t xml:space="preserve"> 5%</w:t>
      </w:r>
    </w:p>
    <w:p w14:paraId="62227F9D" w14:textId="77777777" w:rsidR="00035ABE" w:rsidRPr="00035ABE" w:rsidRDefault="00035ABE" w:rsidP="00035ABE">
      <w:pPr>
        <w:widowControl/>
        <w:numPr>
          <w:ilvl w:val="1"/>
          <w:numId w:val="9"/>
        </w:numPr>
        <w:autoSpaceDE/>
        <w:autoSpaceDN/>
        <w:spacing w:before="100" w:beforeAutospacing="1" w:after="100" w:afterAutospacing="1"/>
        <w:ind w:left="720"/>
        <w:rPr>
          <w:rFonts w:ascii="Cambria"/>
          <w:sz w:val="24"/>
          <w:szCs w:val="24"/>
        </w:rPr>
      </w:pPr>
      <w:r w:rsidRPr="00035ABE">
        <w:rPr>
          <w:rFonts w:ascii="Cambria"/>
          <w:sz w:val="24"/>
          <w:szCs w:val="24"/>
        </w:rPr>
        <w:t xml:space="preserve">Class Participation </w:t>
      </w:r>
      <w:r w:rsidRPr="00035ABE">
        <w:rPr>
          <w:rFonts w:ascii="Cambria"/>
          <w:sz w:val="24"/>
          <w:szCs w:val="24"/>
        </w:rPr>
        <w:t>–</w:t>
      </w:r>
      <w:r w:rsidRPr="00035ABE">
        <w:rPr>
          <w:rFonts w:ascii="Cambria"/>
          <w:sz w:val="24"/>
          <w:szCs w:val="24"/>
        </w:rPr>
        <w:t xml:space="preserve"> Attendance and participation are important to your success in this course. We will walk through many examples and practice problems in class each day, so it is important that you actively participate and ask questions as they come up. weight </w:t>
      </w:r>
      <w:r w:rsidRPr="00035ABE">
        <w:rPr>
          <w:rFonts w:ascii="Cambria"/>
          <w:sz w:val="24"/>
          <w:szCs w:val="24"/>
        </w:rPr>
        <w:t>–</w:t>
      </w:r>
      <w:r w:rsidRPr="00035ABE">
        <w:rPr>
          <w:rFonts w:ascii="Cambria"/>
          <w:sz w:val="24"/>
          <w:szCs w:val="24"/>
        </w:rPr>
        <w:t xml:space="preserve"> 10%</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tbl>
      <w:tblPr>
        <w:tblpPr w:leftFromText="180" w:rightFromText="180" w:vertAnchor="page" w:horzAnchor="page" w:tblpXSpec="center" w:tblpY="2221"/>
        <w:tblW w:w="71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1139"/>
        <w:gridCol w:w="4783"/>
        <w:gridCol w:w="1260"/>
      </w:tblGrid>
      <w:tr w:rsidR="00C04520" w:rsidRPr="00513510" w14:paraId="291A9272" w14:textId="394EDA39" w:rsidTr="006421ED">
        <w:trPr>
          <w:trHeight w:val="440"/>
        </w:trPr>
        <w:tc>
          <w:tcPr>
            <w:tcW w:w="5922" w:type="dxa"/>
            <w:gridSpan w:val="2"/>
            <w:shd w:val="clear" w:color="auto" w:fill="DBE5F1" w:themeFill="accent1" w:themeFillTint="33"/>
          </w:tcPr>
          <w:p w14:paraId="425AB411" w14:textId="77777777" w:rsidR="00C04520" w:rsidRPr="007F4F1D" w:rsidRDefault="00C04520" w:rsidP="00594537">
            <w:pPr>
              <w:pStyle w:val="Heading2"/>
              <w:rPr>
                <w:b w:val="0"/>
              </w:rPr>
            </w:pPr>
            <w:r w:rsidRPr="001271B9">
              <w:t>Tentative Schedule</w:t>
            </w:r>
          </w:p>
        </w:tc>
        <w:tc>
          <w:tcPr>
            <w:tcW w:w="1260" w:type="dxa"/>
            <w:shd w:val="clear" w:color="auto" w:fill="DBE5F1" w:themeFill="accent1" w:themeFillTint="33"/>
          </w:tcPr>
          <w:p w14:paraId="2116968C" w14:textId="77777777" w:rsidR="00C04520" w:rsidRPr="001271B9" w:rsidRDefault="00C04520" w:rsidP="00594537">
            <w:pPr>
              <w:pStyle w:val="Heading2"/>
            </w:pPr>
          </w:p>
        </w:tc>
      </w:tr>
      <w:tr w:rsidR="00C04520" w:rsidRPr="00513510" w14:paraId="01F4C59F" w14:textId="7A9A4A87" w:rsidTr="006421ED">
        <w:tc>
          <w:tcPr>
            <w:tcW w:w="1139" w:type="dxa"/>
            <w:shd w:val="clear" w:color="auto" w:fill="DBE5F1" w:themeFill="accent1" w:themeFillTint="33"/>
          </w:tcPr>
          <w:p w14:paraId="7B70D8F5" w14:textId="77777777" w:rsidR="00C04520" w:rsidRPr="00872B7B" w:rsidRDefault="00C04520" w:rsidP="00594537">
            <w:pPr>
              <w:contextualSpacing/>
              <w:jc w:val="center"/>
              <w:rPr>
                <w:rFonts w:cstheme="minorHAnsi"/>
                <w:b/>
                <w:bCs/>
              </w:rPr>
            </w:pPr>
            <w:r w:rsidRPr="00872B7B">
              <w:rPr>
                <w:rFonts w:cstheme="minorHAnsi"/>
                <w:b/>
                <w:bCs/>
              </w:rPr>
              <w:t xml:space="preserve">Week </w:t>
            </w:r>
          </w:p>
        </w:tc>
        <w:tc>
          <w:tcPr>
            <w:tcW w:w="4783" w:type="dxa"/>
            <w:shd w:val="clear" w:color="auto" w:fill="DBE5F1" w:themeFill="accent1" w:themeFillTint="33"/>
          </w:tcPr>
          <w:p w14:paraId="33401C07" w14:textId="6481DA04" w:rsidR="00C04520" w:rsidRPr="00872B7B" w:rsidRDefault="00C04520" w:rsidP="00594537">
            <w:pPr>
              <w:contextualSpacing/>
              <w:jc w:val="center"/>
              <w:rPr>
                <w:rFonts w:cstheme="minorHAnsi"/>
                <w:b/>
                <w:bCs/>
              </w:rPr>
            </w:pPr>
            <w:r>
              <w:rPr>
                <w:rFonts w:cstheme="minorHAnsi"/>
                <w:b/>
                <w:bCs/>
              </w:rPr>
              <w:t>Topic</w:t>
            </w:r>
          </w:p>
        </w:tc>
        <w:tc>
          <w:tcPr>
            <w:tcW w:w="1260" w:type="dxa"/>
            <w:shd w:val="clear" w:color="auto" w:fill="DBE5F1" w:themeFill="accent1" w:themeFillTint="33"/>
          </w:tcPr>
          <w:p w14:paraId="0C2A1CCD" w14:textId="545FA42A" w:rsidR="00C04520" w:rsidRDefault="00C04520" w:rsidP="00594537">
            <w:pPr>
              <w:contextualSpacing/>
              <w:jc w:val="center"/>
              <w:rPr>
                <w:rFonts w:cstheme="minorHAnsi"/>
                <w:b/>
                <w:bCs/>
              </w:rPr>
            </w:pPr>
            <w:r>
              <w:rPr>
                <w:rFonts w:cstheme="minorHAnsi"/>
                <w:b/>
                <w:bCs/>
              </w:rPr>
              <w:t>Reading</w:t>
            </w:r>
          </w:p>
        </w:tc>
      </w:tr>
      <w:tr w:rsidR="00C04520" w:rsidRPr="00513510" w14:paraId="05FEB6CF" w14:textId="469F8C69" w:rsidTr="006421ED">
        <w:tc>
          <w:tcPr>
            <w:tcW w:w="1139" w:type="dxa"/>
            <w:shd w:val="clear" w:color="auto" w:fill="DBE5F1" w:themeFill="accent1" w:themeFillTint="33"/>
          </w:tcPr>
          <w:p w14:paraId="264E1DC9" w14:textId="039E8A4D" w:rsidR="00C04520" w:rsidRPr="00872B7B" w:rsidRDefault="00C04520" w:rsidP="00594537">
            <w:pPr>
              <w:contextualSpacing/>
              <w:jc w:val="center"/>
              <w:rPr>
                <w:rFonts w:cstheme="minorHAnsi"/>
              </w:rPr>
            </w:pPr>
            <w:r>
              <w:rPr>
                <w:rFonts w:cstheme="minorHAnsi"/>
              </w:rPr>
              <w:t>1</w:t>
            </w:r>
          </w:p>
        </w:tc>
        <w:tc>
          <w:tcPr>
            <w:tcW w:w="4783" w:type="dxa"/>
            <w:shd w:val="clear" w:color="auto" w:fill="DBE5F1" w:themeFill="accent1" w:themeFillTint="33"/>
          </w:tcPr>
          <w:p w14:paraId="37E850AE" w14:textId="0CF86389" w:rsidR="00C04520" w:rsidRPr="00872B7B" w:rsidRDefault="00C04520" w:rsidP="00594537">
            <w:pPr>
              <w:contextualSpacing/>
              <w:rPr>
                <w:rFonts w:cstheme="minorHAnsi"/>
              </w:rPr>
            </w:pPr>
            <w:r>
              <w:rPr>
                <w:rFonts w:cstheme="minorHAnsi"/>
              </w:rPr>
              <w:t>Introduction to Excel Workbooks</w:t>
            </w:r>
          </w:p>
        </w:tc>
        <w:tc>
          <w:tcPr>
            <w:tcW w:w="1260" w:type="dxa"/>
            <w:shd w:val="clear" w:color="auto" w:fill="DBE5F1" w:themeFill="accent1" w:themeFillTint="33"/>
          </w:tcPr>
          <w:p w14:paraId="71DA6ADD" w14:textId="3F9C55C6" w:rsidR="00C04520" w:rsidRDefault="00C04520" w:rsidP="00C04520">
            <w:pPr>
              <w:contextualSpacing/>
              <w:rPr>
                <w:rFonts w:cstheme="minorHAnsi"/>
              </w:rPr>
            </w:pPr>
            <w:r>
              <w:rPr>
                <w:rFonts w:cstheme="minorHAnsi"/>
              </w:rPr>
              <w:t>Ch. 10</w:t>
            </w:r>
          </w:p>
        </w:tc>
      </w:tr>
      <w:tr w:rsidR="00C04520" w:rsidRPr="00513510" w14:paraId="369673D0" w14:textId="63428E81" w:rsidTr="006421ED">
        <w:tc>
          <w:tcPr>
            <w:tcW w:w="1139" w:type="dxa"/>
            <w:shd w:val="clear" w:color="auto" w:fill="DBE5F1" w:themeFill="accent1" w:themeFillTint="33"/>
          </w:tcPr>
          <w:p w14:paraId="17B7C7EB" w14:textId="6DFE04CA" w:rsidR="00C04520" w:rsidRPr="00872B7B" w:rsidRDefault="00C04520" w:rsidP="00594537">
            <w:pPr>
              <w:contextualSpacing/>
              <w:jc w:val="center"/>
              <w:rPr>
                <w:rFonts w:cstheme="minorHAnsi"/>
              </w:rPr>
            </w:pPr>
            <w:r>
              <w:rPr>
                <w:rFonts w:cstheme="minorHAnsi"/>
              </w:rPr>
              <w:t>2</w:t>
            </w:r>
          </w:p>
        </w:tc>
        <w:tc>
          <w:tcPr>
            <w:tcW w:w="4783" w:type="dxa"/>
            <w:shd w:val="clear" w:color="auto" w:fill="DBE5F1" w:themeFill="accent1" w:themeFillTint="33"/>
          </w:tcPr>
          <w:p w14:paraId="6F58DD08" w14:textId="48DA24DE" w:rsidR="00C04520" w:rsidRPr="00D92BFE" w:rsidRDefault="00C04520" w:rsidP="00594537">
            <w:pPr>
              <w:contextualSpacing/>
              <w:rPr>
                <w:rFonts w:cstheme="minorHAnsi"/>
              </w:rPr>
            </w:pPr>
            <w:r>
              <w:rPr>
                <w:rFonts w:cstheme="minorHAnsi"/>
              </w:rPr>
              <w:t>Graphical Solutions</w:t>
            </w:r>
          </w:p>
        </w:tc>
        <w:tc>
          <w:tcPr>
            <w:tcW w:w="1260" w:type="dxa"/>
            <w:shd w:val="clear" w:color="auto" w:fill="DBE5F1" w:themeFill="accent1" w:themeFillTint="33"/>
          </w:tcPr>
          <w:p w14:paraId="0B61CC33" w14:textId="0E5F21D3" w:rsidR="00C04520" w:rsidRDefault="00C04520" w:rsidP="00C04520">
            <w:pPr>
              <w:contextualSpacing/>
              <w:rPr>
                <w:rFonts w:cstheme="minorHAnsi"/>
              </w:rPr>
            </w:pPr>
            <w:r>
              <w:rPr>
                <w:rFonts w:cstheme="minorHAnsi"/>
              </w:rPr>
              <w:t>Ch. 11</w:t>
            </w:r>
          </w:p>
        </w:tc>
      </w:tr>
      <w:tr w:rsidR="00C04520" w:rsidRPr="00513510" w14:paraId="07B374DA" w14:textId="41E37221" w:rsidTr="006421ED">
        <w:tc>
          <w:tcPr>
            <w:tcW w:w="1139" w:type="dxa"/>
            <w:shd w:val="clear" w:color="auto" w:fill="DBE5F1" w:themeFill="accent1" w:themeFillTint="33"/>
          </w:tcPr>
          <w:p w14:paraId="44E5B087" w14:textId="43E6AAA0" w:rsidR="00C04520" w:rsidRPr="00872B7B" w:rsidRDefault="00C04520" w:rsidP="00594537">
            <w:pPr>
              <w:contextualSpacing/>
              <w:jc w:val="center"/>
              <w:rPr>
                <w:rFonts w:cstheme="minorHAnsi"/>
              </w:rPr>
            </w:pPr>
            <w:r>
              <w:rPr>
                <w:rFonts w:cstheme="minorHAnsi"/>
              </w:rPr>
              <w:t>3</w:t>
            </w:r>
          </w:p>
        </w:tc>
        <w:tc>
          <w:tcPr>
            <w:tcW w:w="4783" w:type="dxa"/>
            <w:shd w:val="clear" w:color="auto" w:fill="DBE5F1" w:themeFill="accent1" w:themeFillTint="33"/>
          </w:tcPr>
          <w:p w14:paraId="5BB1356B" w14:textId="3B8BF790" w:rsidR="00C04520" w:rsidRPr="00342AD3" w:rsidRDefault="00C04520" w:rsidP="00594537">
            <w:pPr>
              <w:contextualSpacing/>
              <w:rPr>
                <w:rFonts w:cstheme="minorHAnsi"/>
              </w:rPr>
            </w:pPr>
            <w:r>
              <w:rPr>
                <w:rFonts w:cstheme="minorHAnsi"/>
              </w:rPr>
              <w:t>Models &amp; Systems</w:t>
            </w:r>
          </w:p>
        </w:tc>
        <w:tc>
          <w:tcPr>
            <w:tcW w:w="1260" w:type="dxa"/>
            <w:shd w:val="clear" w:color="auto" w:fill="DBE5F1" w:themeFill="accent1" w:themeFillTint="33"/>
          </w:tcPr>
          <w:p w14:paraId="4D9E3F45" w14:textId="2A90F5E0" w:rsidR="00C04520" w:rsidRDefault="00C04520" w:rsidP="00594537">
            <w:pPr>
              <w:contextualSpacing/>
              <w:rPr>
                <w:rFonts w:cstheme="minorHAnsi"/>
              </w:rPr>
            </w:pPr>
            <w:r>
              <w:rPr>
                <w:rFonts w:cstheme="minorHAnsi"/>
              </w:rPr>
              <w:t>Ch. 12&amp;13</w:t>
            </w:r>
          </w:p>
        </w:tc>
      </w:tr>
      <w:tr w:rsidR="00C04520" w:rsidRPr="00513510" w14:paraId="58992BB0" w14:textId="4AEE0764" w:rsidTr="006421ED">
        <w:tc>
          <w:tcPr>
            <w:tcW w:w="1139" w:type="dxa"/>
            <w:shd w:val="clear" w:color="auto" w:fill="DBE5F1" w:themeFill="accent1" w:themeFillTint="33"/>
          </w:tcPr>
          <w:p w14:paraId="0A967377" w14:textId="5DE43489" w:rsidR="00C04520" w:rsidRPr="00872B7B" w:rsidRDefault="00C04520" w:rsidP="00594537">
            <w:pPr>
              <w:contextualSpacing/>
              <w:jc w:val="center"/>
              <w:rPr>
                <w:rFonts w:cstheme="minorHAnsi"/>
              </w:rPr>
            </w:pPr>
            <w:r>
              <w:rPr>
                <w:rFonts w:cstheme="minorHAnsi"/>
              </w:rPr>
              <w:t>4</w:t>
            </w:r>
          </w:p>
        </w:tc>
        <w:tc>
          <w:tcPr>
            <w:tcW w:w="4783" w:type="dxa"/>
            <w:shd w:val="clear" w:color="auto" w:fill="DBE5F1" w:themeFill="accent1" w:themeFillTint="33"/>
          </w:tcPr>
          <w:p w14:paraId="2CF82A1E" w14:textId="6ECA35A3" w:rsidR="00C04520" w:rsidRPr="005C7C27" w:rsidRDefault="00C04520" w:rsidP="00594537">
            <w:pPr>
              <w:contextualSpacing/>
              <w:rPr>
                <w:rFonts w:cstheme="minorHAnsi"/>
              </w:rPr>
            </w:pPr>
            <w:r>
              <w:rPr>
                <w:rFonts w:cstheme="minorHAnsi"/>
              </w:rPr>
              <w:t xml:space="preserve">Statistics </w:t>
            </w:r>
          </w:p>
        </w:tc>
        <w:tc>
          <w:tcPr>
            <w:tcW w:w="1260" w:type="dxa"/>
            <w:shd w:val="clear" w:color="auto" w:fill="DBE5F1" w:themeFill="accent1" w:themeFillTint="33"/>
          </w:tcPr>
          <w:p w14:paraId="289E728D" w14:textId="2FD8C882" w:rsidR="00C04520" w:rsidRDefault="00C04520" w:rsidP="00594537">
            <w:pPr>
              <w:contextualSpacing/>
              <w:rPr>
                <w:rFonts w:cstheme="minorHAnsi"/>
              </w:rPr>
            </w:pPr>
            <w:r>
              <w:rPr>
                <w:rFonts w:cstheme="minorHAnsi"/>
              </w:rPr>
              <w:t>Ch. 14</w:t>
            </w:r>
          </w:p>
        </w:tc>
      </w:tr>
      <w:tr w:rsidR="00C04520" w:rsidRPr="00513510" w14:paraId="20328759" w14:textId="619D624A" w:rsidTr="006421ED">
        <w:tc>
          <w:tcPr>
            <w:tcW w:w="1139" w:type="dxa"/>
            <w:shd w:val="clear" w:color="auto" w:fill="DBE5F1" w:themeFill="accent1" w:themeFillTint="33"/>
          </w:tcPr>
          <w:p w14:paraId="072DDA21" w14:textId="6955392E" w:rsidR="00C04520" w:rsidRPr="00872B7B" w:rsidRDefault="00C04520" w:rsidP="00594537">
            <w:pPr>
              <w:contextualSpacing/>
              <w:jc w:val="center"/>
              <w:rPr>
                <w:rFonts w:cstheme="minorHAnsi"/>
              </w:rPr>
            </w:pPr>
            <w:r>
              <w:rPr>
                <w:rFonts w:cstheme="minorHAnsi"/>
              </w:rPr>
              <w:t>5</w:t>
            </w:r>
          </w:p>
        </w:tc>
        <w:tc>
          <w:tcPr>
            <w:tcW w:w="4783" w:type="dxa"/>
            <w:shd w:val="clear" w:color="auto" w:fill="DBE5F1" w:themeFill="accent1" w:themeFillTint="33"/>
          </w:tcPr>
          <w:p w14:paraId="06D09324" w14:textId="29A015B6" w:rsidR="00C04520" w:rsidRPr="00C04520" w:rsidRDefault="00C04520" w:rsidP="00594537">
            <w:pPr>
              <w:contextualSpacing/>
              <w:rPr>
                <w:rFonts w:cstheme="minorHAnsi"/>
                <w:b/>
              </w:rPr>
            </w:pPr>
            <w:r>
              <w:rPr>
                <w:rFonts w:cstheme="minorHAnsi"/>
              </w:rPr>
              <w:t>Algorithms</w:t>
            </w:r>
          </w:p>
        </w:tc>
        <w:tc>
          <w:tcPr>
            <w:tcW w:w="1260" w:type="dxa"/>
            <w:shd w:val="clear" w:color="auto" w:fill="DBE5F1" w:themeFill="accent1" w:themeFillTint="33"/>
          </w:tcPr>
          <w:p w14:paraId="6DD08D44" w14:textId="16355344" w:rsidR="00C04520" w:rsidRDefault="00C04520" w:rsidP="00594537">
            <w:pPr>
              <w:contextualSpacing/>
              <w:rPr>
                <w:rFonts w:cstheme="minorHAnsi"/>
              </w:rPr>
            </w:pPr>
            <w:r>
              <w:rPr>
                <w:rFonts w:cstheme="minorHAnsi"/>
              </w:rPr>
              <w:t>Ch. 15</w:t>
            </w:r>
          </w:p>
        </w:tc>
      </w:tr>
      <w:tr w:rsidR="00C04520" w:rsidRPr="00513510" w14:paraId="4CB46C53" w14:textId="74C8687B" w:rsidTr="006421ED">
        <w:tc>
          <w:tcPr>
            <w:tcW w:w="1139" w:type="dxa"/>
            <w:shd w:val="clear" w:color="auto" w:fill="DBE5F1" w:themeFill="accent1" w:themeFillTint="33"/>
          </w:tcPr>
          <w:p w14:paraId="4D7F2A16" w14:textId="0A0445E9" w:rsidR="00C04520" w:rsidRPr="00872B7B" w:rsidRDefault="00C04520" w:rsidP="00594537">
            <w:pPr>
              <w:contextualSpacing/>
              <w:jc w:val="center"/>
              <w:rPr>
                <w:rFonts w:cstheme="minorHAnsi"/>
              </w:rPr>
            </w:pPr>
            <w:r>
              <w:rPr>
                <w:rFonts w:cstheme="minorHAnsi"/>
              </w:rPr>
              <w:t>6</w:t>
            </w:r>
          </w:p>
        </w:tc>
        <w:tc>
          <w:tcPr>
            <w:tcW w:w="4783" w:type="dxa"/>
            <w:shd w:val="clear" w:color="auto" w:fill="DBE5F1" w:themeFill="accent1" w:themeFillTint="33"/>
          </w:tcPr>
          <w:p w14:paraId="68872F59" w14:textId="00F1C932" w:rsidR="00C04520" w:rsidRPr="00473C15" w:rsidRDefault="00C04520" w:rsidP="00594537">
            <w:pPr>
              <w:contextualSpacing/>
              <w:rPr>
                <w:rFonts w:cstheme="minorHAnsi"/>
              </w:rPr>
            </w:pPr>
            <w:r>
              <w:rPr>
                <w:rFonts w:cstheme="minorHAnsi"/>
              </w:rPr>
              <w:t>Introduction to MATLAB; variables and data types</w:t>
            </w:r>
          </w:p>
        </w:tc>
        <w:tc>
          <w:tcPr>
            <w:tcW w:w="1260" w:type="dxa"/>
            <w:shd w:val="clear" w:color="auto" w:fill="DBE5F1" w:themeFill="accent1" w:themeFillTint="33"/>
          </w:tcPr>
          <w:p w14:paraId="475D1D69" w14:textId="16C816B8" w:rsidR="00C04520" w:rsidRDefault="00C04520" w:rsidP="00594537">
            <w:pPr>
              <w:contextualSpacing/>
              <w:rPr>
                <w:rFonts w:cstheme="minorHAnsi"/>
              </w:rPr>
            </w:pPr>
            <w:r>
              <w:rPr>
                <w:rFonts w:cstheme="minorHAnsi"/>
              </w:rPr>
              <w:t>Ch. 16</w:t>
            </w:r>
          </w:p>
        </w:tc>
      </w:tr>
      <w:tr w:rsidR="00C04520" w:rsidRPr="00513510" w14:paraId="647B8718" w14:textId="5A3E202E" w:rsidTr="006421ED">
        <w:tc>
          <w:tcPr>
            <w:tcW w:w="1139" w:type="dxa"/>
            <w:shd w:val="clear" w:color="auto" w:fill="DBE5F1" w:themeFill="accent1" w:themeFillTint="33"/>
          </w:tcPr>
          <w:p w14:paraId="40AC999F" w14:textId="0AFD96DF" w:rsidR="00C04520" w:rsidRPr="00872B7B" w:rsidRDefault="00C04520" w:rsidP="00594537">
            <w:pPr>
              <w:contextualSpacing/>
              <w:jc w:val="center"/>
              <w:rPr>
                <w:rFonts w:cstheme="minorHAnsi"/>
              </w:rPr>
            </w:pPr>
            <w:r>
              <w:rPr>
                <w:rFonts w:cstheme="minorHAnsi"/>
              </w:rPr>
              <w:t>7</w:t>
            </w:r>
          </w:p>
        </w:tc>
        <w:tc>
          <w:tcPr>
            <w:tcW w:w="4783" w:type="dxa"/>
            <w:shd w:val="clear" w:color="auto" w:fill="DBE5F1" w:themeFill="accent1" w:themeFillTint="33"/>
          </w:tcPr>
          <w:p w14:paraId="1AAE5EB0" w14:textId="4AF7142F" w:rsidR="00C04520" w:rsidRPr="00C04520" w:rsidRDefault="00C04520" w:rsidP="00594537">
            <w:pPr>
              <w:contextualSpacing/>
              <w:rPr>
                <w:rFonts w:cstheme="minorHAnsi"/>
              </w:rPr>
            </w:pPr>
            <w:r>
              <w:rPr>
                <w:rFonts w:cstheme="minorHAnsi"/>
              </w:rPr>
              <w:t>Programs and Functions</w:t>
            </w:r>
          </w:p>
        </w:tc>
        <w:tc>
          <w:tcPr>
            <w:tcW w:w="1260" w:type="dxa"/>
            <w:shd w:val="clear" w:color="auto" w:fill="DBE5F1" w:themeFill="accent1" w:themeFillTint="33"/>
          </w:tcPr>
          <w:p w14:paraId="1C657927" w14:textId="151C6178" w:rsidR="00C04520" w:rsidRDefault="00C04520" w:rsidP="00594537">
            <w:pPr>
              <w:contextualSpacing/>
              <w:rPr>
                <w:rFonts w:cstheme="minorHAnsi"/>
              </w:rPr>
            </w:pPr>
            <w:r>
              <w:rPr>
                <w:rFonts w:cstheme="minorHAnsi"/>
              </w:rPr>
              <w:t>Ch. 17</w:t>
            </w:r>
          </w:p>
        </w:tc>
      </w:tr>
      <w:tr w:rsidR="00C04520" w:rsidRPr="00513510" w14:paraId="516D8637" w14:textId="7BE58AFB" w:rsidTr="006421ED">
        <w:tc>
          <w:tcPr>
            <w:tcW w:w="1139" w:type="dxa"/>
            <w:shd w:val="clear" w:color="auto" w:fill="DBE5F1" w:themeFill="accent1" w:themeFillTint="33"/>
          </w:tcPr>
          <w:p w14:paraId="71FA8832" w14:textId="14A08AEF" w:rsidR="00C04520" w:rsidRPr="00872B7B" w:rsidRDefault="00C04520" w:rsidP="00594537">
            <w:pPr>
              <w:contextualSpacing/>
              <w:jc w:val="center"/>
              <w:rPr>
                <w:rFonts w:cstheme="minorHAnsi"/>
              </w:rPr>
            </w:pPr>
            <w:r>
              <w:rPr>
                <w:rFonts w:cstheme="minorHAnsi"/>
              </w:rPr>
              <w:t>8</w:t>
            </w:r>
          </w:p>
        </w:tc>
        <w:tc>
          <w:tcPr>
            <w:tcW w:w="4783" w:type="dxa"/>
            <w:shd w:val="clear" w:color="auto" w:fill="DBE5F1" w:themeFill="accent1" w:themeFillTint="33"/>
          </w:tcPr>
          <w:p w14:paraId="04F0CFD8" w14:textId="163573FE" w:rsidR="00C04520" w:rsidRPr="00473C15" w:rsidRDefault="00C04520" w:rsidP="00594537">
            <w:pPr>
              <w:contextualSpacing/>
              <w:rPr>
                <w:rFonts w:cstheme="minorHAnsi"/>
              </w:rPr>
            </w:pPr>
            <w:r>
              <w:rPr>
                <w:rFonts w:cstheme="minorHAnsi"/>
              </w:rPr>
              <w:t>Input/Output in MATLAB</w:t>
            </w:r>
          </w:p>
        </w:tc>
        <w:tc>
          <w:tcPr>
            <w:tcW w:w="1260" w:type="dxa"/>
            <w:shd w:val="clear" w:color="auto" w:fill="DBE5F1" w:themeFill="accent1" w:themeFillTint="33"/>
          </w:tcPr>
          <w:p w14:paraId="3011B9C4" w14:textId="7CD3FD26" w:rsidR="00C04520" w:rsidRDefault="00C04520" w:rsidP="00594537">
            <w:pPr>
              <w:contextualSpacing/>
              <w:rPr>
                <w:rFonts w:cstheme="minorHAnsi"/>
              </w:rPr>
            </w:pPr>
            <w:r>
              <w:rPr>
                <w:rFonts w:cstheme="minorHAnsi"/>
              </w:rPr>
              <w:t>Ch. 18</w:t>
            </w:r>
          </w:p>
        </w:tc>
      </w:tr>
      <w:tr w:rsidR="00C04520" w:rsidRPr="00513510" w14:paraId="57FBFE41" w14:textId="33107456" w:rsidTr="006421ED">
        <w:tc>
          <w:tcPr>
            <w:tcW w:w="1139" w:type="dxa"/>
            <w:shd w:val="clear" w:color="auto" w:fill="DBE5F1" w:themeFill="accent1" w:themeFillTint="33"/>
          </w:tcPr>
          <w:p w14:paraId="71C2DAA6" w14:textId="5C2AB60F" w:rsidR="00C04520" w:rsidRPr="00872B7B" w:rsidRDefault="00C04520" w:rsidP="00594537">
            <w:pPr>
              <w:contextualSpacing/>
              <w:jc w:val="center"/>
              <w:rPr>
                <w:rFonts w:cstheme="minorHAnsi"/>
              </w:rPr>
            </w:pPr>
            <w:r>
              <w:rPr>
                <w:rFonts w:cstheme="minorHAnsi"/>
              </w:rPr>
              <w:t>9</w:t>
            </w:r>
          </w:p>
        </w:tc>
        <w:tc>
          <w:tcPr>
            <w:tcW w:w="4783" w:type="dxa"/>
            <w:shd w:val="clear" w:color="auto" w:fill="DBE5F1" w:themeFill="accent1" w:themeFillTint="33"/>
          </w:tcPr>
          <w:p w14:paraId="63D92DB9" w14:textId="1B111C24" w:rsidR="00C04520" w:rsidRPr="00A96661" w:rsidRDefault="00C04520" w:rsidP="00594537">
            <w:pPr>
              <w:contextualSpacing/>
              <w:rPr>
                <w:rFonts w:cstheme="minorHAnsi"/>
              </w:rPr>
            </w:pPr>
            <w:r>
              <w:rPr>
                <w:rFonts w:cstheme="minorHAnsi"/>
              </w:rPr>
              <w:t>Logic and Conditionals</w:t>
            </w:r>
          </w:p>
        </w:tc>
        <w:tc>
          <w:tcPr>
            <w:tcW w:w="1260" w:type="dxa"/>
            <w:shd w:val="clear" w:color="auto" w:fill="DBE5F1" w:themeFill="accent1" w:themeFillTint="33"/>
          </w:tcPr>
          <w:p w14:paraId="194BE2CF" w14:textId="6BA3A2B9" w:rsidR="00C04520" w:rsidRDefault="00C04520" w:rsidP="00594537">
            <w:pPr>
              <w:contextualSpacing/>
              <w:rPr>
                <w:rFonts w:cstheme="minorHAnsi"/>
              </w:rPr>
            </w:pPr>
            <w:r>
              <w:rPr>
                <w:rFonts w:cstheme="minorHAnsi"/>
              </w:rPr>
              <w:t>Ch. 19</w:t>
            </w:r>
          </w:p>
        </w:tc>
      </w:tr>
      <w:tr w:rsidR="00C04520" w:rsidRPr="00513510" w14:paraId="4082D12E" w14:textId="0F48D154" w:rsidTr="006421ED">
        <w:tc>
          <w:tcPr>
            <w:tcW w:w="1139" w:type="dxa"/>
            <w:shd w:val="clear" w:color="auto" w:fill="DBE5F1" w:themeFill="accent1" w:themeFillTint="33"/>
          </w:tcPr>
          <w:p w14:paraId="7955E94A" w14:textId="5EF14F61" w:rsidR="00C04520" w:rsidRPr="00872B7B" w:rsidRDefault="00C04520" w:rsidP="00594537">
            <w:pPr>
              <w:contextualSpacing/>
              <w:jc w:val="center"/>
              <w:rPr>
                <w:rFonts w:cstheme="minorHAnsi"/>
              </w:rPr>
            </w:pPr>
            <w:r>
              <w:rPr>
                <w:rFonts w:cstheme="minorHAnsi"/>
              </w:rPr>
              <w:t>10</w:t>
            </w:r>
          </w:p>
        </w:tc>
        <w:tc>
          <w:tcPr>
            <w:tcW w:w="4783" w:type="dxa"/>
            <w:shd w:val="clear" w:color="auto" w:fill="DBE5F1" w:themeFill="accent1" w:themeFillTint="33"/>
          </w:tcPr>
          <w:p w14:paraId="4992AEFA" w14:textId="67CFBCB4" w:rsidR="00C04520" w:rsidRPr="00117617" w:rsidRDefault="00C04520" w:rsidP="00594537">
            <w:pPr>
              <w:contextualSpacing/>
              <w:rPr>
                <w:rFonts w:cstheme="minorHAnsi"/>
              </w:rPr>
            </w:pPr>
            <w:r>
              <w:rPr>
                <w:rFonts w:cstheme="minorHAnsi"/>
              </w:rPr>
              <w:t>Loops</w:t>
            </w:r>
          </w:p>
        </w:tc>
        <w:tc>
          <w:tcPr>
            <w:tcW w:w="1260" w:type="dxa"/>
            <w:shd w:val="clear" w:color="auto" w:fill="DBE5F1" w:themeFill="accent1" w:themeFillTint="33"/>
          </w:tcPr>
          <w:p w14:paraId="77934AD8" w14:textId="7FA68039" w:rsidR="00C04520" w:rsidRDefault="00C04520" w:rsidP="00594537">
            <w:pPr>
              <w:contextualSpacing/>
              <w:rPr>
                <w:rFonts w:cstheme="minorHAnsi"/>
              </w:rPr>
            </w:pPr>
            <w:r>
              <w:rPr>
                <w:rFonts w:cstheme="minorHAnsi"/>
              </w:rPr>
              <w:t>Ch. 20</w:t>
            </w:r>
          </w:p>
        </w:tc>
      </w:tr>
      <w:tr w:rsidR="00C04520" w:rsidRPr="00513510" w14:paraId="02CD9AFA" w14:textId="68AB3DAC" w:rsidTr="006421ED">
        <w:tc>
          <w:tcPr>
            <w:tcW w:w="1139" w:type="dxa"/>
            <w:shd w:val="clear" w:color="auto" w:fill="DBE5F1" w:themeFill="accent1" w:themeFillTint="33"/>
          </w:tcPr>
          <w:p w14:paraId="759FB523" w14:textId="29D7BF6C" w:rsidR="00C04520" w:rsidRPr="00872B7B" w:rsidRDefault="00C04520" w:rsidP="00594537">
            <w:pPr>
              <w:contextualSpacing/>
              <w:jc w:val="center"/>
              <w:rPr>
                <w:rFonts w:cstheme="minorHAnsi"/>
              </w:rPr>
            </w:pPr>
            <w:r>
              <w:rPr>
                <w:rFonts w:cstheme="minorHAnsi"/>
              </w:rPr>
              <w:t>Finals</w:t>
            </w:r>
          </w:p>
        </w:tc>
        <w:tc>
          <w:tcPr>
            <w:tcW w:w="4783" w:type="dxa"/>
            <w:shd w:val="clear" w:color="auto" w:fill="DBE5F1" w:themeFill="accent1" w:themeFillTint="33"/>
          </w:tcPr>
          <w:p w14:paraId="0AF50158" w14:textId="4EC1724B" w:rsidR="00C04520" w:rsidRPr="00872B7B" w:rsidRDefault="00C04520" w:rsidP="00C04520">
            <w:pPr>
              <w:contextualSpacing/>
              <w:rPr>
                <w:rFonts w:cstheme="minorHAnsi"/>
                <w:b/>
              </w:rPr>
            </w:pPr>
            <w:r>
              <w:rPr>
                <w:rFonts w:cstheme="minorHAnsi"/>
                <w:b/>
              </w:rPr>
              <w:t>Final Project Due</w:t>
            </w:r>
          </w:p>
        </w:tc>
        <w:tc>
          <w:tcPr>
            <w:tcW w:w="1260" w:type="dxa"/>
            <w:shd w:val="clear" w:color="auto" w:fill="DBE5F1" w:themeFill="accent1" w:themeFillTint="33"/>
          </w:tcPr>
          <w:p w14:paraId="0C69DD68" w14:textId="77777777" w:rsidR="00C04520" w:rsidRDefault="00C04520" w:rsidP="00C04520">
            <w:pPr>
              <w:contextualSpacing/>
              <w:rPr>
                <w:rFonts w:cstheme="minorHAnsi"/>
                <w:b/>
              </w:rPr>
            </w:pPr>
          </w:p>
        </w:tc>
      </w:tr>
    </w:tbl>
    <w:p w14:paraId="045D9156" w14:textId="77777777" w:rsidR="00F66495" w:rsidRDefault="00F66495">
      <w:pPr>
        <w:spacing w:line="261" w:lineRule="exact"/>
        <w:rPr>
          <w:sz w:val="24"/>
        </w:rPr>
      </w:pPr>
    </w:p>
    <w:p w14:paraId="2C02E978" w14:textId="77777777" w:rsidR="00594537" w:rsidRDefault="00594537">
      <w:pPr>
        <w:spacing w:line="261" w:lineRule="exact"/>
        <w:rPr>
          <w:sz w:val="24"/>
        </w:rPr>
      </w:pPr>
    </w:p>
    <w:p w14:paraId="06C3799D" w14:textId="77777777" w:rsidR="00594537" w:rsidRDefault="00594537">
      <w:pPr>
        <w:spacing w:line="261" w:lineRule="exact"/>
        <w:rPr>
          <w:sz w:val="24"/>
        </w:rPr>
      </w:pPr>
    </w:p>
    <w:p w14:paraId="38753F0C" w14:textId="77777777" w:rsidR="000514BE" w:rsidRDefault="000514BE" w:rsidP="00594537">
      <w:pPr>
        <w:spacing w:before="100" w:line="281" w:lineRule="exact"/>
        <w:ind w:firstLine="180"/>
        <w:rPr>
          <w:rFonts w:ascii="Cambria"/>
          <w:b/>
          <w:sz w:val="24"/>
          <w:u w:val="single"/>
        </w:rPr>
      </w:pPr>
    </w:p>
    <w:p w14:paraId="05008289" w14:textId="77777777" w:rsidR="000514BE" w:rsidRDefault="000514BE" w:rsidP="00594537">
      <w:pPr>
        <w:spacing w:before="100" w:line="281" w:lineRule="exact"/>
        <w:ind w:firstLine="180"/>
        <w:rPr>
          <w:rFonts w:ascii="Cambria"/>
          <w:b/>
          <w:sz w:val="24"/>
          <w:u w:val="single"/>
        </w:rPr>
      </w:pPr>
    </w:p>
    <w:p w14:paraId="7F9C66B5" w14:textId="77777777" w:rsidR="000514BE" w:rsidRDefault="000514BE" w:rsidP="00594537">
      <w:pPr>
        <w:spacing w:before="100" w:line="281" w:lineRule="exact"/>
        <w:ind w:firstLine="180"/>
        <w:rPr>
          <w:rFonts w:ascii="Cambria"/>
          <w:b/>
          <w:sz w:val="24"/>
          <w:u w:val="single"/>
        </w:rPr>
      </w:pPr>
    </w:p>
    <w:p w14:paraId="2E1D1CA6" w14:textId="77777777" w:rsidR="000514BE" w:rsidRDefault="000514BE" w:rsidP="00594537">
      <w:pPr>
        <w:spacing w:before="100" w:line="281" w:lineRule="exact"/>
        <w:ind w:firstLine="180"/>
        <w:rPr>
          <w:rFonts w:ascii="Cambria"/>
          <w:b/>
          <w:sz w:val="24"/>
          <w:u w:val="single"/>
        </w:rPr>
      </w:pPr>
    </w:p>
    <w:p w14:paraId="2DE0DF8D" w14:textId="77777777" w:rsidR="000514BE" w:rsidRDefault="000514BE" w:rsidP="00594537">
      <w:pPr>
        <w:spacing w:before="100" w:line="281" w:lineRule="exact"/>
        <w:ind w:firstLine="180"/>
        <w:rPr>
          <w:rFonts w:ascii="Cambria"/>
          <w:b/>
          <w:sz w:val="24"/>
          <w:u w:val="single"/>
        </w:rPr>
      </w:pPr>
    </w:p>
    <w:p w14:paraId="26ECF67F" w14:textId="77777777" w:rsidR="000514BE" w:rsidRDefault="000514BE" w:rsidP="00594537">
      <w:pPr>
        <w:spacing w:before="100" w:line="281" w:lineRule="exact"/>
        <w:ind w:firstLine="180"/>
        <w:rPr>
          <w:rFonts w:ascii="Cambria"/>
          <w:b/>
          <w:sz w:val="24"/>
          <w:u w:val="single"/>
        </w:rPr>
      </w:pPr>
    </w:p>
    <w:p w14:paraId="6BB92A8B" w14:textId="77777777" w:rsidR="000514BE" w:rsidRDefault="000514BE" w:rsidP="00594537">
      <w:pPr>
        <w:spacing w:before="100" w:line="281" w:lineRule="exact"/>
        <w:ind w:firstLine="180"/>
        <w:rPr>
          <w:rFonts w:ascii="Cambria"/>
          <w:b/>
          <w:sz w:val="24"/>
          <w:u w:val="single"/>
        </w:rPr>
      </w:pPr>
    </w:p>
    <w:p w14:paraId="39A2107B" w14:textId="77777777" w:rsidR="000514BE" w:rsidRDefault="000514BE" w:rsidP="00594537">
      <w:pPr>
        <w:spacing w:before="100" w:line="281" w:lineRule="exact"/>
        <w:ind w:firstLine="180"/>
        <w:rPr>
          <w:rFonts w:ascii="Cambria"/>
          <w:b/>
          <w:sz w:val="24"/>
          <w:u w:val="single"/>
        </w:rPr>
      </w:pPr>
    </w:p>
    <w:p w14:paraId="195F0D70" w14:textId="77777777" w:rsidR="000514BE" w:rsidRDefault="000514BE" w:rsidP="00594537">
      <w:pPr>
        <w:spacing w:before="100" w:line="281" w:lineRule="exact"/>
        <w:ind w:firstLine="180"/>
        <w:rPr>
          <w:rFonts w:ascii="Cambria"/>
          <w:b/>
          <w:sz w:val="24"/>
          <w:u w:val="single"/>
        </w:rPr>
      </w:pPr>
    </w:p>
    <w:p w14:paraId="6E93317D" w14:textId="77777777" w:rsidR="000514BE" w:rsidRDefault="000514BE" w:rsidP="00594537">
      <w:pPr>
        <w:spacing w:before="100" w:line="281" w:lineRule="exact"/>
        <w:ind w:firstLine="180"/>
        <w:rPr>
          <w:rFonts w:ascii="Cambria"/>
          <w:b/>
          <w:sz w:val="24"/>
          <w:u w:val="single"/>
        </w:rPr>
      </w:pPr>
    </w:p>
    <w:p w14:paraId="1FDE8445" w14:textId="77777777" w:rsidR="000514BE" w:rsidRDefault="000514BE" w:rsidP="00594537">
      <w:pPr>
        <w:spacing w:before="100" w:line="281" w:lineRule="exact"/>
        <w:ind w:firstLine="180"/>
        <w:rPr>
          <w:rFonts w:ascii="Cambria"/>
          <w:b/>
          <w:sz w:val="24"/>
          <w:u w:val="single"/>
        </w:rPr>
      </w:pPr>
    </w:p>
    <w:p w14:paraId="36850849" w14:textId="77777777" w:rsidR="000514BE" w:rsidRDefault="000514BE" w:rsidP="00594537">
      <w:pPr>
        <w:spacing w:before="100" w:line="281" w:lineRule="exact"/>
        <w:ind w:firstLine="180"/>
        <w:rPr>
          <w:rFonts w:ascii="Cambria"/>
          <w:b/>
          <w:sz w:val="24"/>
          <w:u w:val="single"/>
        </w:rPr>
      </w:pPr>
    </w:p>
    <w:p w14:paraId="289B9B5B" w14:textId="77777777" w:rsidR="000514BE" w:rsidRDefault="000514BE" w:rsidP="00594537">
      <w:pPr>
        <w:spacing w:before="100" w:line="281" w:lineRule="exact"/>
        <w:ind w:firstLine="180"/>
        <w:rPr>
          <w:rFonts w:ascii="Cambria"/>
          <w:b/>
          <w:sz w:val="24"/>
          <w:u w:val="single"/>
        </w:rPr>
      </w:pPr>
    </w:p>
    <w:p w14:paraId="74A3CCCB" w14:textId="77777777" w:rsidR="000514BE" w:rsidRDefault="000514BE" w:rsidP="00594537">
      <w:pPr>
        <w:spacing w:before="100" w:line="281" w:lineRule="exact"/>
        <w:ind w:firstLine="180"/>
        <w:rPr>
          <w:rFonts w:ascii="Cambria"/>
          <w:b/>
          <w:sz w:val="24"/>
          <w:u w:val="single"/>
        </w:rPr>
      </w:pPr>
    </w:p>
    <w:p w14:paraId="4AF486AD" w14:textId="77777777" w:rsidR="000514BE" w:rsidRDefault="000514BE" w:rsidP="00594537">
      <w:pPr>
        <w:spacing w:before="100" w:line="281" w:lineRule="exact"/>
        <w:ind w:firstLine="180"/>
        <w:rPr>
          <w:rFonts w:ascii="Cambria"/>
          <w:b/>
          <w:sz w:val="24"/>
          <w:u w:val="single"/>
        </w:rPr>
      </w:pPr>
    </w:p>
    <w:p w14:paraId="21DF694D" w14:textId="77777777" w:rsidR="000514BE" w:rsidRDefault="000514BE" w:rsidP="00594537">
      <w:pPr>
        <w:spacing w:before="100" w:line="281" w:lineRule="exact"/>
        <w:ind w:firstLine="180"/>
        <w:rPr>
          <w:rFonts w:ascii="Cambria"/>
          <w:b/>
          <w:sz w:val="24"/>
          <w:u w:val="single"/>
        </w:rPr>
      </w:pPr>
    </w:p>
    <w:p w14:paraId="12D76945" w14:textId="77777777" w:rsidR="000514BE" w:rsidRDefault="000514BE" w:rsidP="00594537">
      <w:pPr>
        <w:spacing w:before="100" w:line="281" w:lineRule="exact"/>
        <w:ind w:firstLine="180"/>
        <w:rPr>
          <w:rFonts w:ascii="Cambria"/>
          <w:b/>
          <w:sz w:val="24"/>
          <w:u w:val="single"/>
        </w:rPr>
      </w:pPr>
    </w:p>
    <w:p w14:paraId="6CEE3BAE" w14:textId="77777777" w:rsidR="000514BE" w:rsidRDefault="000514BE" w:rsidP="00594537">
      <w:pPr>
        <w:spacing w:before="100" w:line="281" w:lineRule="exact"/>
        <w:ind w:firstLine="180"/>
        <w:rPr>
          <w:rFonts w:ascii="Cambria"/>
          <w:b/>
          <w:sz w:val="24"/>
          <w:u w:val="single"/>
        </w:rPr>
      </w:pPr>
    </w:p>
    <w:p w14:paraId="0A746439" w14:textId="77777777" w:rsidR="000514BE" w:rsidRDefault="000514BE" w:rsidP="00594537">
      <w:pPr>
        <w:spacing w:before="100" w:line="281" w:lineRule="exact"/>
        <w:ind w:firstLine="180"/>
        <w:rPr>
          <w:rFonts w:ascii="Cambria"/>
          <w:b/>
          <w:sz w:val="24"/>
          <w:u w:val="single"/>
        </w:rPr>
      </w:pPr>
    </w:p>
    <w:p w14:paraId="2E35824D" w14:textId="77777777" w:rsidR="000514BE" w:rsidRDefault="000514BE" w:rsidP="00594537">
      <w:pPr>
        <w:spacing w:before="100" w:line="281" w:lineRule="exact"/>
        <w:ind w:firstLine="180"/>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E52B" w14:textId="77777777" w:rsidR="000514BE" w:rsidRDefault="000514BE">
      <w:r>
        <w:separator/>
      </w:r>
    </w:p>
  </w:endnote>
  <w:endnote w:type="continuationSeparator" w:id="0">
    <w:p w14:paraId="2667DD3E" w14:textId="77777777" w:rsidR="000514BE" w:rsidRDefault="000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7777777" w:rsidR="000514BE" w:rsidRDefault="000514B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0514BE" w:rsidRDefault="000514BE">
                          <w:pPr>
                            <w:pStyle w:val="BodyText"/>
                            <w:spacing w:before="10"/>
                            <w:ind w:left="40"/>
                          </w:pPr>
                          <w:r>
                            <w:fldChar w:fldCharType="begin"/>
                          </w:r>
                          <w:r>
                            <w:instrText xml:space="preserve"> PAGE </w:instrText>
                          </w:r>
                          <w:r>
                            <w:fldChar w:fldCharType="separate"/>
                          </w:r>
                          <w:r w:rsidR="00F5784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0514BE" w:rsidRDefault="000514BE">
                    <w:pPr>
                      <w:pStyle w:val="BodyText"/>
                      <w:spacing w:before="10"/>
                      <w:ind w:left="40"/>
                    </w:pPr>
                    <w:r>
                      <w:fldChar w:fldCharType="begin"/>
                    </w:r>
                    <w:r>
                      <w:instrText xml:space="preserve"> PAGE </w:instrText>
                    </w:r>
                    <w:r>
                      <w:fldChar w:fldCharType="separate"/>
                    </w:r>
                    <w:r w:rsidR="006421ED">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DF65" w14:textId="77777777" w:rsidR="000514BE" w:rsidRDefault="000514BE">
      <w:r>
        <w:separator/>
      </w:r>
    </w:p>
  </w:footnote>
  <w:footnote w:type="continuationSeparator" w:id="0">
    <w:p w14:paraId="3558B5D6" w14:textId="77777777" w:rsidR="000514BE" w:rsidRDefault="00051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6">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10FE"/>
    <w:rsid w:val="00026E02"/>
    <w:rsid w:val="00035ABE"/>
    <w:rsid w:val="000514BE"/>
    <w:rsid w:val="00061477"/>
    <w:rsid w:val="000C6E8F"/>
    <w:rsid w:val="002365D4"/>
    <w:rsid w:val="00277E85"/>
    <w:rsid w:val="002D592C"/>
    <w:rsid w:val="00320941"/>
    <w:rsid w:val="0036015D"/>
    <w:rsid w:val="003758E5"/>
    <w:rsid w:val="003A5FFE"/>
    <w:rsid w:val="003D4A53"/>
    <w:rsid w:val="00403833"/>
    <w:rsid w:val="00421551"/>
    <w:rsid w:val="00442E6D"/>
    <w:rsid w:val="0046690B"/>
    <w:rsid w:val="00483604"/>
    <w:rsid w:val="00517FB2"/>
    <w:rsid w:val="00594537"/>
    <w:rsid w:val="005E0D3F"/>
    <w:rsid w:val="005E326A"/>
    <w:rsid w:val="006421ED"/>
    <w:rsid w:val="00672F33"/>
    <w:rsid w:val="00684B5B"/>
    <w:rsid w:val="006B7FA7"/>
    <w:rsid w:val="0075516B"/>
    <w:rsid w:val="007C77E5"/>
    <w:rsid w:val="008075A8"/>
    <w:rsid w:val="008403F3"/>
    <w:rsid w:val="008D481F"/>
    <w:rsid w:val="008E7AF5"/>
    <w:rsid w:val="00931C85"/>
    <w:rsid w:val="00970E3A"/>
    <w:rsid w:val="009B13D8"/>
    <w:rsid w:val="00A10D10"/>
    <w:rsid w:val="00A35DDA"/>
    <w:rsid w:val="00A44F73"/>
    <w:rsid w:val="00AD2A2D"/>
    <w:rsid w:val="00AD61C7"/>
    <w:rsid w:val="00AE2D85"/>
    <w:rsid w:val="00AF7A6B"/>
    <w:rsid w:val="00B034B8"/>
    <w:rsid w:val="00B1252E"/>
    <w:rsid w:val="00B15CC4"/>
    <w:rsid w:val="00B9127F"/>
    <w:rsid w:val="00C04520"/>
    <w:rsid w:val="00C50140"/>
    <w:rsid w:val="00D5427D"/>
    <w:rsid w:val="00DC69C2"/>
    <w:rsid w:val="00E50099"/>
    <w:rsid w:val="00EB1C1E"/>
    <w:rsid w:val="00EE4F36"/>
    <w:rsid w:val="00F5784D"/>
    <w:rsid w:val="00F66495"/>
    <w:rsid w:val="00F82536"/>
    <w:rsid w:val="00FA54C3"/>
    <w:rsid w:val="00FE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321">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902</Words>
  <Characters>5145</Characters>
  <Application>Microsoft Macintosh Word</Application>
  <DocSecurity>0</DocSecurity>
  <Lines>42</Lines>
  <Paragraphs>12</Paragraphs>
  <ScaleCrop>false</ScaleCrop>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25</cp:revision>
  <dcterms:created xsi:type="dcterms:W3CDTF">2019-04-26T19:04:00Z</dcterms:created>
  <dcterms:modified xsi:type="dcterms:W3CDTF">2019-05-29T19:52:00Z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