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8" w:rsidRDefault="00332C48" w:rsidP="00332C48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bookmarkStart w:id="0" w:name="_GoBack"/>
      <w:bookmarkEnd w:id="0"/>
      <w:r w:rsidRPr="00D83F0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48" w:rsidRPr="00D83F0C" w:rsidRDefault="00332C48" w:rsidP="00332C48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332C48" w:rsidRDefault="00332C48" w:rsidP="00332C48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332C48" w:rsidRDefault="00332C48" w:rsidP="00332C48">
      <w:pPr>
        <w:jc w:val="right"/>
        <w:rPr>
          <w:rFonts w:ascii="Arial" w:hAnsi="Arial" w:cs="Arial"/>
          <w:sz w:val="16"/>
        </w:rPr>
      </w:pPr>
    </w:p>
    <w:p w:rsidR="00332C48" w:rsidRDefault="00332C48" w:rsidP="00332C48">
      <w:pPr>
        <w:spacing w:after="120"/>
        <w:rPr>
          <w:bCs/>
          <w:sz w:val="4"/>
        </w:rPr>
      </w:pPr>
    </w:p>
    <w:p w:rsidR="00332C48" w:rsidRDefault="00332C48" w:rsidP="00332C48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Pr="0007288D">
          <w:rPr>
            <w:rStyle w:val="Hyperlink"/>
          </w:rPr>
          <w:t>http://www.nwic.edu/assessment</w:t>
        </w:r>
      </w:hyperlink>
    </w:p>
    <w:p w:rsidR="00332C48" w:rsidRPr="0077779F" w:rsidRDefault="00332C48" w:rsidP="00332C48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:rsidR="00332C48" w:rsidRDefault="00332C48" w:rsidP="00332C48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332C48" w:rsidRDefault="00332C48" w:rsidP="00332C48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332C48" w:rsidRDefault="00332C48" w:rsidP="00332C48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332C48" w:rsidRDefault="00332C48" w:rsidP="00332C48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332C48" w:rsidRDefault="00332C48" w:rsidP="00332C48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332C48" w:rsidRDefault="00332C48" w:rsidP="00332C48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570"/>
      </w:tblGrid>
      <w:tr w:rsidR="00332C48" w:rsidTr="00703648">
        <w:trPr>
          <w:trHeight w:val="152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 date this form was updated or edited</w:t>
            </w:r>
          </w:p>
        </w:tc>
        <w:tc>
          <w:tcPr>
            <w:tcW w:w="6570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4/11/19</w:t>
            </w:r>
          </w:p>
        </w:tc>
      </w:tr>
      <w:tr w:rsidR="00332C48" w:rsidTr="00703648">
        <w:trPr>
          <w:trHeight w:val="152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6570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CMPS 101</w:t>
            </w:r>
          </w:p>
        </w:tc>
      </w:tr>
      <w:tr w:rsidR="00332C48" w:rsidTr="00703648">
        <w:trPr>
          <w:trHeight w:val="449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6570" w:type="dxa"/>
          </w:tcPr>
          <w:p w:rsidR="00332C48" w:rsidRPr="000911C1" w:rsidRDefault="000911C1" w:rsidP="00703648">
            <w:pPr>
              <w:rPr>
                <w:b/>
                <w:sz w:val="22"/>
                <w:szCs w:val="22"/>
              </w:rPr>
            </w:pPr>
            <w:r w:rsidRPr="000911C1">
              <w:rPr>
                <w:b/>
                <w:sz w:val="22"/>
                <w:szCs w:val="22"/>
              </w:rPr>
              <w:t>Introduction to Computers</w:t>
            </w:r>
          </w:p>
        </w:tc>
      </w:tr>
      <w:tr w:rsidR="00332C48" w:rsidTr="00703648">
        <w:trPr>
          <w:trHeight w:val="1070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and others who participated in creating and approved these course outcomes (consult with at least one other person)</w:t>
            </w:r>
          </w:p>
        </w:tc>
        <w:tc>
          <w:tcPr>
            <w:tcW w:w="6570" w:type="dxa"/>
          </w:tcPr>
          <w:p w:rsidR="00332C48" w:rsidRDefault="00AA2A59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Miguel Ramos, Flora Tsai, Brian Compton, </w:t>
            </w:r>
            <w:r w:rsidR="00332C48">
              <w:rPr>
                <w:b/>
                <w:sz w:val="22"/>
              </w:rPr>
              <w:t>Ted Williams</w:t>
            </w:r>
          </w:p>
        </w:tc>
      </w:tr>
      <w:tr w:rsidR="00332C48" w:rsidTr="00703648">
        <w:trPr>
          <w:cantSplit/>
          <w:trHeight w:val="1448"/>
        </w:trPr>
        <w:tc>
          <w:tcPr>
            <w:tcW w:w="3258" w:type="dxa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6570" w:type="dxa"/>
          </w:tcPr>
          <w:p w:rsidR="00332C48" w:rsidRPr="004A7CFF" w:rsidRDefault="00441652" w:rsidP="0006334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06334F">
              <w:rPr>
                <w:sz w:val="22"/>
              </w:rPr>
              <w:t xml:space="preserve"> </w:t>
            </w:r>
            <w:r w:rsidR="00F12DE6">
              <w:rPr>
                <w:sz w:val="22"/>
              </w:rPr>
              <w:t xml:space="preserve">Selected texts </w:t>
            </w:r>
            <w:r w:rsidR="004D18A4">
              <w:rPr>
                <w:sz w:val="22"/>
              </w:rPr>
              <w:t xml:space="preserve">for </w:t>
            </w:r>
            <w:r w:rsidR="00F12DE6">
              <w:rPr>
                <w:sz w:val="22"/>
              </w:rPr>
              <w:t>Microsoft office</w:t>
            </w:r>
          </w:p>
          <w:p w:rsidR="00F12DE6" w:rsidRPr="0006334F" w:rsidRDefault="00F12DE6" w:rsidP="0006334F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sz w:val="22"/>
              </w:rPr>
              <w:t>APA style</w:t>
            </w:r>
            <w:r w:rsidR="004A7CFF">
              <w:rPr>
                <w:sz w:val="22"/>
              </w:rPr>
              <w:t xml:space="preserve"> guide</w:t>
            </w:r>
          </w:p>
        </w:tc>
      </w:tr>
    </w:tbl>
    <w:p w:rsidR="00332C48" w:rsidRDefault="00332C48" w:rsidP="00332C48">
      <w:pPr>
        <w:spacing w:after="120"/>
        <w:rPr>
          <w:bCs/>
          <w:sz w:val="22"/>
          <w:szCs w:val="22"/>
          <w:u w:val="single"/>
        </w:rPr>
      </w:pPr>
    </w:p>
    <w:p w:rsidR="00332C48" w:rsidRDefault="00332C48" w:rsidP="00332C48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Institutional Outcomes:  </w:t>
      </w:r>
      <w:r>
        <w:rPr>
          <w:rFonts w:ascii="Arial" w:hAnsi="Arial" w:cs="Arial"/>
          <w:bCs/>
          <w:sz w:val="22"/>
          <w:szCs w:val="22"/>
        </w:rPr>
        <w:t xml:space="preserve">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NWIC institutional outcomes that are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 and up to all eight outcomes).</w:t>
      </w:r>
    </w:p>
    <w:p w:rsidR="00332C48" w:rsidRDefault="00332C48" w:rsidP="00332C48">
      <w:pPr>
        <w:numPr>
          <w:ilvl w:val="0"/>
          <w:numId w:val="1"/>
        </w:numPr>
        <w:rPr>
          <w:sz w:val="22"/>
          <w:szCs w:val="22"/>
        </w:rPr>
        <w:sectPr w:rsidR="00332C48" w:rsidSect="00332C48"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332C48" w:rsidRPr="00445CCC" w:rsidRDefault="00332C48" w:rsidP="00332C48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332C48" w:rsidTr="00703648">
        <w:trPr>
          <w:trHeight w:val="864"/>
        </w:trPr>
        <w:tc>
          <w:tcPr>
            <w:tcW w:w="3168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institutional outcome # (e.g., #3 - “</w:t>
            </w:r>
            <w:r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332C48" w:rsidTr="00703648">
        <w:trPr>
          <w:trHeight w:val="620"/>
        </w:trPr>
        <w:tc>
          <w:tcPr>
            <w:tcW w:w="3168" w:type="dxa"/>
            <w:vAlign w:val="bottom"/>
          </w:tcPr>
          <w:p w:rsidR="00332C48" w:rsidRDefault="00B43A37" w:rsidP="00703648">
            <w:r>
              <w:t xml:space="preserve">1) </w:t>
            </w:r>
            <w:r w:rsidR="00383E20">
              <w:t>E</w:t>
            </w:r>
            <w:r w:rsidR="00AA2A59" w:rsidRPr="00AA2A59">
              <w:t>ffectively communicate in divers</w:t>
            </w:r>
            <w:r>
              <w:t xml:space="preserve">e situations, from receiving to </w:t>
            </w:r>
            <w:r w:rsidR="00AA2A59" w:rsidRPr="00AA2A59">
              <w:t>expressing information, both verbally and non-verbally</w:t>
            </w:r>
          </w:p>
          <w:p w:rsidR="00AA2A59" w:rsidRDefault="00493C5C" w:rsidP="00703648">
            <w:pPr>
              <w:rPr>
                <w:b/>
                <w:sz w:val="22"/>
              </w:rPr>
            </w:pPr>
            <w:r>
              <w:t>7)</w:t>
            </w:r>
            <w:r w:rsidR="00AA2A59">
              <w:t xml:space="preserve"> </w:t>
            </w:r>
            <w:r w:rsidR="00D4682F">
              <w:t>M</w:t>
            </w:r>
            <w:r w:rsidR="00AA2A59" w:rsidRPr="00AA2A59">
              <w:t>eet the technological challenges of a modern world</w:t>
            </w:r>
          </w:p>
        </w:tc>
        <w:tc>
          <w:tcPr>
            <w:tcW w:w="3240" w:type="dxa"/>
            <w:vAlign w:val="bottom"/>
          </w:tcPr>
          <w:p w:rsidR="00332C48" w:rsidRDefault="00473EED" w:rsidP="00703648">
            <w:pPr>
              <w:rPr>
                <w:b/>
                <w:sz w:val="22"/>
              </w:rPr>
            </w:pPr>
            <w:r>
              <w:t>Write answers to essay questions.</w:t>
            </w:r>
          </w:p>
        </w:tc>
        <w:tc>
          <w:tcPr>
            <w:tcW w:w="3600" w:type="dxa"/>
            <w:vAlign w:val="bottom"/>
          </w:tcPr>
          <w:p w:rsidR="00332C48" w:rsidRDefault="00473EED" w:rsidP="00473EED">
            <w:pPr>
              <w:rPr>
                <w:b/>
                <w:sz w:val="22"/>
              </w:rPr>
            </w:pPr>
            <w:r>
              <w:t>Comprehensible essays.</w:t>
            </w:r>
          </w:p>
        </w:tc>
      </w:tr>
    </w:tbl>
    <w:p w:rsidR="00332C48" w:rsidRDefault="00332C48" w:rsidP="00332C48">
      <w:pPr>
        <w:spacing w:after="120"/>
        <w:rPr>
          <w:b/>
          <w:sz w:val="22"/>
          <w:szCs w:val="22"/>
        </w:rPr>
      </w:pPr>
    </w:p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ED6864">
        <w:rPr>
          <w:rFonts w:ascii="Arial" w:hAnsi="Arial" w:cs="Arial"/>
          <w:b/>
          <w:sz w:val="22"/>
          <w:szCs w:val="22"/>
        </w:rPr>
        <w:lastRenderedPageBreak/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that are </w:t>
      </w:r>
      <w:r>
        <w:rPr>
          <w:rFonts w:ascii="Arial" w:hAnsi="Arial" w:cs="Arial"/>
          <w:b/>
          <w:sz w:val="22"/>
          <w:szCs w:val="22"/>
          <w:u w:val="single"/>
        </w:rPr>
        <w:t>assessed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  <w:gridCol w:w="3213"/>
        <w:gridCol w:w="3570"/>
      </w:tblGrid>
      <w:tr w:rsidR="009359AE" w:rsidTr="00B1472A">
        <w:trPr>
          <w:trHeight w:val="1152"/>
        </w:trPr>
        <w:tc>
          <w:tcPr>
            <w:tcW w:w="3143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70" w:type="dxa"/>
            <w:vAlign w:val="bottom"/>
          </w:tcPr>
          <w:p w:rsidR="00332C48" w:rsidRDefault="00332C48" w:rsidP="007036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703648">
            <w:r>
              <w:t xml:space="preserve">Apply beginning-level </w:t>
            </w:r>
            <w:r w:rsidR="00D4682F">
              <w:t>word-processing</w:t>
            </w:r>
            <w:r>
              <w:t>, spreadsheet, and presentation software skills.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1A1DF7" w:rsidP="00703648">
            <w:pPr>
              <w:rPr>
                <w:b/>
                <w:sz w:val="22"/>
              </w:rPr>
            </w:pPr>
            <w:r>
              <w:t>Comp</w:t>
            </w:r>
            <w:r w:rsidR="0037320A">
              <w:t>letes assignments from lectures and assigned</w:t>
            </w:r>
            <w:r>
              <w:t xml:space="preserve"> texts and videos.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1A1DF7" w:rsidP="001A1DF7">
            <w:pPr>
              <w:rPr>
                <w:b/>
                <w:sz w:val="22"/>
              </w:rPr>
            </w:pPr>
            <w:r>
              <w:t>Students complete cumulative assignments that require a demonstration of the ability to perform word processing, spreadsheet and presentation functions.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703648">
            <w:r>
              <w:t>Demonstrate critical thinking and information literacy skills to search for and assess information on the internet, in databases, and in other information sources.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37320A" w:rsidP="0037320A">
            <w:pPr>
              <w:rPr>
                <w:b/>
                <w:sz w:val="22"/>
              </w:rPr>
            </w:pPr>
            <w:r>
              <w:t>Use a “thinking tool” to organize a research topic and search keywords.  Then find, access, navigate and evaluate websites and online databases.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37320A" w:rsidP="0037320A">
            <w:pPr>
              <w:rPr>
                <w:b/>
                <w:sz w:val="22"/>
              </w:rPr>
            </w:pPr>
            <w:r>
              <w:t xml:space="preserve">Students complete assignments that require a demonstration of the ability to organize </w:t>
            </w:r>
            <w:r w:rsidR="000959B2">
              <w:t xml:space="preserve">a </w:t>
            </w:r>
            <w:r>
              <w:t xml:space="preserve">research </w:t>
            </w:r>
            <w:r w:rsidR="000959B2">
              <w:t xml:space="preserve">topic </w:t>
            </w:r>
            <w:r>
              <w:t>and evaluate information sources.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4A7CFF">
            <w:r>
              <w:t>Describe how computers work, including basic hardware and softwar</w:t>
            </w:r>
            <w:r w:rsidR="00097CF9">
              <w:t>e requirements and functions</w:t>
            </w:r>
            <w:r>
              <w:t>, and necessary maintenance and upgrades.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9359AE" w:rsidP="00703648">
            <w:pPr>
              <w:rPr>
                <w:b/>
                <w:sz w:val="22"/>
              </w:rPr>
            </w:pPr>
            <w:r>
              <w:t>Comp</w:t>
            </w:r>
            <w:r w:rsidR="00F11AE1">
              <w:t>letes assignment</w:t>
            </w:r>
            <w:r>
              <w:t xml:space="preserve"> from lectures and assigned texts and videos.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9359AE" w:rsidP="009359AE">
            <w:pPr>
              <w:rPr>
                <w:b/>
                <w:sz w:val="22"/>
              </w:rPr>
            </w:pPr>
            <w:r>
              <w:t>Students complete an assignment that demonstrates an understanding of the basic concepts of computer hardware and software issues and functions.</w:t>
            </w:r>
          </w:p>
        </w:tc>
      </w:tr>
      <w:tr w:rsidR="009359AE" w:rsidRPr="0077779F" w:rsidTr="00B14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473EED" w:rsidRDefault="004A7CFF" w:rsidP="00703648">
            <w:r>
              <w:t>Demonstrate awareness of current issues in the field of computers and the internet, including data privacy, anonymity, and security.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F11AE1" w:rsidP="00703648">
            <w:pPr>
              <w:rPr>
                <w:b/>
                <w:sz w:val="22"/>
              </w:rPr>
            </w:pPr>
            <w:r>
              <w:t>Completes assignment from lectures and assigned texts and videos.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48" w:rsidRPr="00F53456" w:rsidRDefault="00F11AE1" w:rsidP="00F11AE1">
            <w:pPr>
              <w:rPr>
                <w:b/>
                <w:sz w:val="22"/>
              </w:rPr>
            </w:pPr>
            <w:r>
              <w:t>Students complete an assignment that demonstrates an understanding of the basic issues and concepts of online privacy and security.</w:t>
            </w:r>
          </w:p>
        </w:tc>
      </w:tr>
    </w:tbl>
    <w:p w:rsidR="00332C48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p w:rsidR="00332C48" w:rsidRPr="00ED6864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332C48" w:rsidRPr="00ED6864" w:rsidRDefault="00332C48" w:rsidP="00332C48">
      <w:pPr>
        <w:ind w:hanging="540"/>
        <w:rPr>
          <w:rFonts w:ascii="Arial" w:hAnsi="Arial" w:cs="Arial"/>
          <w:b/>
          <w:sz w:val="22"/>
          <w:szCs w:val="22"/>
        </w:rPr>
      </w:pPr>
    </w:p>
    <w:p w:rsidR="00332C48" w:rsidRPr="00ED6864" w:rsidRDefault="00332C48" w:rsidP="00332C48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:rsidR="00332C48" w:rsidRDefault="00332C48" w:rsidP="00332C48">
      <w:pPr>
        <w:ind w:hanging="540"/>
        <w:rPr>
          <w:iCs/>
          <w:sz w:val="20"/>
        </w:rPr>
      </w:pPr>
    </w:p>
    <w:p w:rsidR="000360C7" w:rsidRDefault="000360C7"/>
    <w:sectPr w:rsidR="000360C7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70" w:rsidRDefault="00506470">
      <w:r>
        <w:separator/>
      </w:r>
    </w:p>
  </w:endnote>
  <w:endnote w:type="continuationSeparator" w:id="0">
    <w:p w:rsidR="00506470" w:rsidRDefault="005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70" w:rsidRDefault="00506470">
      <w:r>
        <w:separator/>
      </w:r>
    </w:p>
  </w:footnote>
  <w:footnote w:type="continuationSeparator" w:id="0">
    <w:p w:rsidR="00506470" w:rsidRDefault="0050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67070A2"/>
    <w:multiLevelType w:val="hybridMultilevel"/>
    <w:tmpl w:val="972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6232"/>
    <w:multiLevelType w:val="hybridMultilevel"/>
    <w:tmpl w:val="EC08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8"/>
    <w:rsid w:val="000360C7"/>
    <w:rsid w:val="0006334F"/>
    <w:rsid w:val="000741CB"/>
    <w:rsid w:val="000911C1"/>
    <w:rsid w:val="000959B2"/>
    <w:rsid w:val="00097CF9"/>
    <w:rsid w:val="001A1DF7"/>
    <w:rsid w:val="00332C48"/>
    <w:rsid w:val="0037320A"/>
    <w:rsid w:val="00383E20"/>
    <w:rsid w:val="00440143"/>
    <w:rsid w:val="00441652"/>
    <w:rsid w:val="00473EED"/>
    <w:rsid w:val="00493C5C"/>
    <w:rsid w:val="004A7CFF"/>
    <w:rsid w:val="004D18A4"/>
    <w:rsid w:val="004F51E5"/>
    <w:rsid w:val="00506470"/>
    <w:rsid w:val="0057113F"/>
    <w:rsid w:val="0079722C"/>
    <w:rsid w:val="009359AE"/>
    <w:rsid w:val="00AA2A59"/>
    <w:rsid w:val="00B1472A"/>
    <w:rsid w:val="00B43A37"/>
    <w:rsid w:val="00C051D8"/>
    <w:rsid w:val="00D4682F"/>
    <w:rsid w:val="00F11AE1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D1A1A-4BFC-441B-9316-9E7B640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2C48"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9">
    <w:name w:val="heading 9"/>
    <w:basedOn w:val="Normal"/>
    <w:next w:val="Normal"/>
    <w:link w:val="Heading9Char"/>
    <w:qFormat/>
    <w:rsid w:val="00332C48"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2C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332C48"/>
    <w:rPr>
      <w:rFonts w:ascii="Arial" w:eastAsia="Times New Roman" w:hAnsi="Arial" w:cs="Arial"/>
      <w:b/>
      <w:bCs/>
      <w:color w:val="000000"/>
      <w:sz w:val="28"/>
      <w:szCs w:val="24"/>
    </w:rPr>
  </w:style>
  <w:style w:type="character" w:styleId="Hyperlink">
    <w:name w:val="Hyperlink"/>
    <w:rsid w:val="00332C48"/>
    <w:rPr>
      <w:color w:val="0000FF"/>
      <w:u w:val="single"/>
    </w:rPr>
  </w:style>
  <w:style w:type="paragraph" w:styleId="Footer">
    <w:name w:val="footer"/>
    <w:basedOn w:val="Normal"/>
    <w:link w:val="FooterChar"/>
    <w:rsid w:val="00332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C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1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1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5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F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3582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Ramos</dc:creator>
  <cp:lastModifiedBy>Miguel Ramos</cp:lastModifiedBy>
  <cp:revision>2</cp:revision>
  <dcterms:created xsi:type="dcterms:W3CDTF">2019-04-29T20:42:00Z</dcterms:created>
  <dcterms:modified xsi:type="dcterms:W3CDTF">2019-04-29T20:42:00Z</dcterms:modified>
</cp:coreProperties>
</file>