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0C" w:rsidRDefault="000B1359" w:rsidP="00D83F0C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 w:rsidRPr="00D83F0C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3C511B87" wp14:editId="0E99D38D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A12" w:rsidRPr="00D83F0C" w:rsidRDefault="00EE4A12" w:rsidP="00D83F0C">
      <w:pPr>
        <w:pStyle w:val="Heading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EE4A12" w:rsidRDefault="00EE4A12" w:rsidP="00D83F0C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EE4A12">
      <w:pPr>
        <w:jc w:val="right"/>
        <w:rPr>
          <w:rFonts w:ascii="Arial" w:hAnsi="Arial" w:cs="Arial"/>
          <w:sz w:val="16"/>
        </w:rPr>
      </w:pPr>
    </w:p>
    <w:p w:rsidR="00EE4A12" w:rsidRDefault="00EE4A12">
      <w:pPr>
        <w:spacing w:after="120"/>
        <w:rPr>
          <w:bCs/>
          <w:sz w:val="4"/>
        </w:rPr>
      </w:pPr>
    </w:p>
    <w:p w:rsidR="00ED6864" w:rsidRPr="00ED6864" w:rsidRDefault="00D83F0C" w:rsidP="00D83F0C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2"/>
          <w:szCs w:val="22"/>
        </w:rPr>
        <w:t xml:space="preserve">Follow </w:t>
      </w:r>
      <w:r w:rsidR="00EE4A12">
        <w:rPr>
          <w:rFonts w:ascii="Arial" w:hAnsi="Arial" w:cs="Arial"/>
          <w:b/>
          <w:color w:val="auto"/>
          <w:sz w:val="22"/>
          <w:szCs w:val="22"/>
        </w:rPr>
        <w:t xml:space="preserve">the </w:t>
      </w:r>
      <w:r w:rsidR="00EE4A12">
        <w:rPr>
          <w:rFonts w:ascii="Arial" w:hAnsi="Arial" w:cs="Arial"/>
          <w:b/>
          <w:i/>
          <w:iCs/>
          <w:color w:val="auto"/>
          <w:sz w:val="22"/>
          <w:szCs w:val="22"/>
        </w:rPr>
        <w:t>Instructions for Completing the Course Outcomes Form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>,</w:t>
      </w:r>
      <w:r w:rsidR="00ED6864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</w:t>
      </w:r>
      <w:r w:rsidR="00ED6864" w:rsidRPr="00D83F0C">
        <w:rPr>
          <w:rFonts w:ascii="Arial" w:hAnsi="Arial" w:cs="Arial"/>
          <w:b/>
          <w:iCs/>
          <w:color w:val="auto"/>
          <w:sz w:val="22"/>
          <w:szCs w:val="22"/>
        </w:rPr>
        <w:t xml:space="preserve"> on the</w:t>
      </w:r>
      <w:r w:rsidR="00ED6864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="00ED6864"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 w:rsidR="00ED6864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9" w:history="1">
        <w:r>
          <w:rPr>
            <w:rStyle w:val="Hyperlink"/>
          </w:rPr>
          <w:t>http://www.nwic.edu/assessment/course-outcomes</w:t>
        </w:r>
      </w:hyperlink>
    </w:p>
    <w:p w:rsidR="00D83F0C" w:rsidRDefault="00EE4A12" w:rsidP="00D83F0C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Please </w:t>
      </w:r>
      <w:r w:rsidR="00ED6864">
        <w:rPr>
          <w:rFonts w:ascii="Arial" w:hAnsi="Arial" w:cs="Arial"/>
          <w:b/>
          <w:color w:val="auto"/>
          <w:sz w:val="22"/>
          <w:szCs w:val="22"/>
        </w:rPr>
        <w:t xml:space="preserve">submit this form electronically </w:t>
      </w:r>
      <w:r w:rsidR="00D83F0C">
        <w:rPr>
          <w:rFonts w:ascii="Arial" w:hAnsi="Arial" w:cs="Arial"/>
          <w:b/>
          <w:color w:val="auto"/>
          <w:sz w:val="22"/>
          <w:szCs w:val="22"/>
        </w:rPr>
        <w:t>to the chair of the Curriculum Committee</w:t>
      </w:r>
    </w:p>
    <w:p w:rsidR="00F06904" w:rsidRDefault="00EE4A12" w:rsidP="00F06904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</w:t>
      </w:r>
      <w:r w:rsidR="00D83F0C">
        <w:rPr>
          <w:rFonts w:ascii="Arial" w:hAnsi="Arial" w:cs="Arial"/>
          <w:color w:val="auto"/>
          <w:sz w:val="22"/>
          <w:szCs w:val="20"/>
        </w:rPr>
        <w:t>(e.g., “IL: Essay”).</w:t>
      </w:r>
      <w:r>
        <w:rPr>
          <w:rFonts w:ascii="Arial" w:hAnsi="Arial" w:cs="Arial"/>
          <w:color w:val="auto"/>
          <w:sz w:val="22"/>
          <w:szCs w:val="20"/>
        </w:rPr>
        <w:t xml:space="preserve">  </w:t>
      </w:r>
      <w:r w:rsidR="00F06904"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F06904" w:rsidRDefault="00F06904" w:rsidP="00F06904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F06904" w:rsidRDefault="00F06904" w:rsidP="00F06904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  </w:t>
      </w:r>
    </w:p>
    <w:p w:rsidR="00EE4A12" w:rsidRDefault="00F06904" w:rsidP="00F06904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>and the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C028C6" w:rsidRPr="00C028C6" w:rsidRDefault="002B7C53" w:rsidP="000911EE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April 8</w:t>
            </w:r>
            <w:r w:rsidR="00A75A11">
              <w:rPr>
                <w:i w:val="0"/>
                <w:iCs w:val="0"/>
                <w:noProof/>
                <w:sz w:val="22"/>
              </w:rPr>
              <w:t>, 2014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 w:rsidP="0052739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A27152" w:rsidP="002B7C5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TVR</w:t>
            </w:r>
            <w:r w:rsidR="002B7C53">
              <w:rPr>
                <w:i w:val="0"/>
                <w:iCs w:val="0"/>
                <w:sz w:val="22"/>
                <w:szCs w:val="22"/>
              </w:rPr>
              <w:t>S</w:t>
            </w:r>
            <w:r w:rsidR="00C82444">
              <w:rPr>
                <w:i w:val="0"/>
                <w:iCs w:val="0"/>
                <w:sz w:val="22"/>
                <w:szCs w:val="22"/>
              </w:rPr>
              <w:t xml:space="preserve"> 3</w:t>
            </w:r>
            <w:r w:rsidR="00D46DDC">
              <w:rPr>
                <w:i w:val="0"/>
                <w:iCs w:val="0"/>
                <w:sz w:val="22"/>
                <w:szCs w:val="22"/>
              </w:rPr>
              <w:t>0</w:t>
            </w:r>
            <w:r w:rsidR="002B4D12">
              <w:rPr>
                <w:i w:val="0"/>
                <w:iCs w:val="0"/>
                <w:sz w:val="22"/>
                <w:szCs w:val="22"/>
              </w:rPr>
              <w:t>3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 w:rsidP="00C028C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86D14" w:rsidP="002B7C53">
            <w:pPr>
              <w:spacing w:after="120"/>
            </w:pPr>
            <w:r>
              <w:t xml:space="preserve">Tribal Vocational Rehabilitation Foundations </w:t>
            </w:r>
            <w:r w:rsidR="002B4D12">
              <w:t xml:space="preserve">3 </w:t>
            </w:r>
          </w:p>
        </w:tc>
      </w:tr>
      <w:tr w:rsidR="00EE4A12" w:rsidTr="00ED6864">
        <w:trPr>
          <w:trHeight w:val="107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List </w:t>
            </w:r>
            <w:r w:rsidR="00ED6864">
              <w:rPr>
                <w:b/>
                <w:sz w:val="22"/>
              </w:rPr>
              <w:t xml:space="preserve">the names of </w:t>
            </w:r>
            <w:r>
              <w:rPr>
                <w:b/>
                <w:sz w:val="22"/>
              </w:rPr>
              <w:t>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86D1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Richard W. Corbridge</w:t>
            </w:r>
            <w:r w:rsidR="006B3E8F">
              <w:rPr>
                <w:i w:val="0"/>
                <w:iCs w:val="0"/>
                <w:sz w:val="22"/>
                <w:szCs w:val="22"/>
              </w:rPr>
              <w:t>, Car</w:t>
            </w:r>
            <w:r w:rsidR="00387E37">
              <w:rPr>
                <w:i w:val="0"/>
                <w:iCs w:val="0"/>
                <w:sz w:val="22"/>
                <w:szCs w:val="22"/>
              </w:rPr>
              <w:t>leen Anderson, Kathy West-Evans.</w:t>
            </w:r>
            <w:r w:rsidR="006B3E8F">
              <w:rPr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586D1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The syllabus for this course was first written in 1988 and has been continually updated to keep pace with the knowledge and experience of the Tribal VR agencies and staff.</w:t>
            </w:r>
            <w:r w:rsidR="00875C02">
              <w:rPr>
                <w:i w:val="0"/>
                <w:iCs w:val="0"/>
                <w:sz w:val="22"/>
                <w:szCs w:val="22"/>
              </w:rPr>
              <w:t xml:space="preserve">  The syllabus is a </w:t>
            </w:r>
            <w:r w:rsidR="00253042">
              <w:rPr>
                <w:i w:val="0"/>
                <w:iCs w:val="0"/>
                <w:sz w:val="22"/>
                <w:szCs w:val="22"/>
              </w:rPr>
              <w:t>compendium</w:t>
            </w:r>
            <w:r w:rsidR="00875C02">
              <w:rPr>
                <w:i w:val="0"/>
                <w:iCs w:val="0"/>
                <w:sz w:val="22"/>
                <w:szCs w:val="22"/>
              </w:rPr>
              <w:t xml:space="preserve"> of produced documents based on the Rehabilitation Act of 1973 as amended, the implementing regulations, the OMB Circulars and sub-regulatory policy.  It also includes example documents reflecting good practice aligned with the Federal requirements.    </w:t>
            </w:r>
            <w:r>
              <w:rPr>
                <w:i w:val="0"/>
                <w:iCs w:val="0"/>
                <w:sz w:val="22"/>
                <w:szCs w:val="22"/>
              </w:rPr>
              <w:t xml:space="preserve">  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875C02" w:rsidRPr="00875C02" w:rsidRDefault="00875C02" w:rsidP="00875C0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875C02">
              <w:rPr>
                <w:i w:val="0"/>
                <w:sz w:val="22"/>
                <w:szCs w:val="22"/>
              </w:rPr>
              <w:t>Online medical dictionaries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BF73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Diagnostic and</w:t>
            </w:r>
            <w:r w:rsidR="00875C02">
              <w:rPr>
                <w:i w:val="0"/>
                <w:iCs w:val="0"/>
                <w:sz w:val="22"/>
                <w:szCs w:val="22"/>
              </w:rPr>
              <w:t xml:space="preserve"> Statistical </w:t>
            </w:r>
            <w:r>
              <w:rPr>
                <w:i w:val="0"/>
                <w:iCs w:val="0"/>
                <w:sz w:val="22"/>
                <w:szCs w:val="22"/>
              </w:rPr>
              <w:t>Manual of Mental Disorders (</w:t>
            </w:r>
            <w:r w:rsidR="00875C02">
              <w:rPr>
                <w:i w:val="0"/>
                <w:iCs w:val="0"/>
                <w:sz w:val="22"/>
                <w:szCs w:val="22"/>
              </w:rPr>
              <w:t>DSM V</w:t>
            </w:r>
            <w:r>
              <w:rPr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F7321" w:rsidRDefault="00A8351E" w:rsidP="00A8351E">
            <w:pPr>
              <w:pStyle w:val="Heading3"/>
              <w:spacing w:line="300" w:lineRule="atLeast"/>
              <w:ind w:left="0"/>
              <w:rPr>
                <w:b w:val="0"/>
                <w:iCs/>
                <w:sz w:val="22"/>
                <w:szCs w:val="22"/>
              </w:rPr>
            </w:pPr>
            <w:r w:rsidRPr="00A8351E"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>Selected</w:t>
            </w:r>
            <w:r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  <w:t xml:space="preserve"> references in the Rehabilitation Act and selected Federal regulations.</w:t>
            </w: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D6864">
        <w:trPr>
          <w:cantSplit/>
          <w:trHeight w:val="288"/>
        </w:trPr>
        <w:tc>
          <w:tcPr>
            <w:tcW w:w="4788" w:type="dxa"/>
            <w:vMerge/>
          </w:tcPr>
          <w:p w:rsidR="00ED6864" w:rsidRDefault="00ED6864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D6864" w:rsidRPr="00BB014C" w:rsidRDefault="00ED686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764E04" w:rsidTr="004B1E7A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</w:tcPr>
          <w:p w:rsidR="00764E04" w:rsidRPr="00AD2581" w:rsidRDefault="00764E04" w:rsidP="004B1E7A">
            <w:r w:rsidRPr="00AD2581">
              <w:t>Institutional outcome – 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764E04" w:rsidRPr="00AD2581" w:rsidRDefault="00764E04" w:rsidP="004B1E7A">
            <w:r w:rsidRPr="00AD2581"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64E04" w:rsidRPr="00AD2581" w:rsidRDefault="00764E04" w:rsidP="004B1E7A">
            <w:r w:rsidRPr="00AD2581">
              <w:t>Assessment/Evaluation Strategies:  How will you measure this outcome? (e.g., student presentations, essays)</w:t>
            </w:r>
          </w:p>
        </w:tc>
      </w:tr>
      <w:tr w:rsidR="00764E04" w:rsidTr="00ED6864">
        <w:trPr>
          <w:trHeight w:val="548"/>
        </w:trPr>
        <w:tc>
          <w:tcPr>
            <w:tcW w:w="3168" w:type="dxa"/>
            <w:shd w:val="clear" w:color="auto" w:fill="E6E6E6"/>
          </w:tcPr>
          <w:p w:rsidR="00764E04" w:rsidRPr="00AD2581" w:rsidRDefault="00764E04" w:rsidP="004B1E7A">
            <w:r w:rsidRPr="00AD2581">
              <w:t>Effectively communicate in diverse situations, from receiving to expressing information, both verbally and non-verbally</w:t>
            </w:r>
          </w:p>
        </w:tc>
        <w:tc>
          <w:tcPr>
            <w:tcW w:w="3240" w:type="dxa"/>
            <w:shd w:val="clear" w:color="auto" w:fill="E6E6E6"/>
          </w:tcPr>
          <w:p w:rsidR="00764E04" w:rsidRPr="00AD2581" w:rsidRDefault="00764E04" w:rsidP="004B1E7A">
            <w:r w:rsidRPr="00AD2581">
              <w:t>Dialog in large and small groups. Summaries of group sessions.</w:t>
            </w:r>
          </w:p>
        </w:tc>
        <w:tc>
          <w:tcPr>
            <w:tcW w:w="3600" w:type="dxa"/>
            <w:shd w:val="clear" w:color="auto" w:fill="E6E6E6"/>
          </w:tcPr>
          <w:p w:rsidR="00764E04" w:rsidRDefault="00764E04" w:rsidP="004B1E7A">
            <w:r w:rsidRPr="00AD2581">
              <w:t>Student presentations.  Student presentations.  Sample of HB student work will be emailed to teacher</w:t>
            </w: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2C3689">
            <w:r w:rsidRPr="002F0DD6">
              <w:t xml:space="preserve">Describe methods used to establish a positive understanding of </w:t>
            </w:r>
            <w:r w:rsidR="00A75A11" w:rsidRPr="002F0DD6">
              <w:t>T</w:t>
            </w:r>
            <w:r w:rsidRPr="002F0DD6">
              <w:t xml:space="preserve">VR in </w:t>
            </w:r>
            <w:r w:rsidR="00584F97">
              <w:t xml:space="preserve">tribal </w:t>
            </w:r>
            <w:r w:rsidR="00A75A11" w:rsidRPr="002F0DD6">
              <w:t xml:space="preserve">service </w:t>
            </w:r>
            <w:r w:rsidRPr="002F0DD6">
              <w:t>communit</w:t>
            </w:r>
            <w:r w:rsidR="00A75A11" w:rsidRPr="002F0DD6">
              <w:t>ies</w:t>
            </w:r>
            <w:r w:rsidRPr="002F0DD6">
              <w:t>.</w:t>
            </w:r>
            <w:r w:rsidRPr="007E3955">
              <w:t xml:space="preserve"> 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>Presentation and dialog in large and small groups.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 w:rsidP="00930E0B">
            <w:r w:rsidRPr="00513D25">
              <w:t>Student presentations of sectional content.  Random selection.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584F97">
            <w:r w:rsidRPr="007E3955">
              <w:t xml:space="preserve">Analyze </w:t>
            </w:r>
            <w:r w:rsidR="002C3689">
              <w:t xml:space="preserve">a </w:t>
            </w:r>
            <w:r w:rsidR="00317E39">
              <w:t xml:space="preserve">TVR </w:t>
            </w:r>
            <w:r w:rsidR="00584F97">
              <w:t>a</w:t>
            </w:r>
            <w:r w:rsidRPr="007E3955">
              <w:t xml:space="preserve">gency’s caseload and outcome performances in relationship to </w:t>
            </w:r>
            <w:r w:rsidR="00584F97">
              <w:t xml:space="preserve">its </w:t>
            </w:r>
            <w:r w:rsidRPr="007E3955">
              <w:t>Federal grant award.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 w:rsidP="00050FAC">
            <w:r w:rsidRPr="00513D25">
              <w:t>Presentation and dialog in large and small groups.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Student presentations of sectional content.  Random selection.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584F97" w:rsidP="00584F97">
            <w:r>
              <w:t>D</w:t>
            </w:r>
            <w:r w:rsidR="00433928" w:rsidRPr="007E3955">
              <w:t>esign effective and efficient options</w:t>
            </w:r>
            <w:r w:rsidR="002A28AF">
              <w:t xml:space="preserve"> </w:t>
            </w:r>
            <w:r w:rsidR="002C3689">
              <w:t xml:space="preserve">for meeting program goals </w:t>
            </w:r>
            <w:r w:rsidR="002A28AF">
              <w:t xml:space="preserve">that fit </w:t>
            </w:r>
            <w:r>
              <w:t xml:space="preserve">tribal </w:t>
            </w:r>
            <w:r w:rsidR="002A28AF">
              <w:t>service communities</w:t>
            </w:r>
            <w:r>
              <w:t xml:space="preserve"> by critiquing a TVR </w:t>
            </w:r>
            <w:r w:rsidR="00554CD6">
              <w:t>agency’s</w:t>
            </w:r>
            <w:r>
              <w:t xml:space="preserve"> outreach and intake strategies</w:t>
            </w:r>
            <w:r w:rsidR="002A28AF">
              <w:t>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 xml:space="preserve">Presentations and dialog in large and small groups.  Summaries of group sessions. 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 w:rsidP="00A8351E">
            <w:r w:rsidRPr="00513D25">
              <w:t>Student presentations.  Random selection.</w:t>
            </w:r>
            <w:r w:rsidR="00A8351E">
              <w:t xml:space="preserve"> </w:t>
            </w:r>
            <w:r w:rsidR="00A8351E" w:rsidRPr="00513D25">
              <w:t xml:space="preserve">Sample of HB student work will be </w:t>
            </w:r>
            <w:r w:rsidR="00A8351E">
              <w:t>completed at home base and brought to class.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584F97" w:rsidP="002C3689">
            <w:r>
              <w:t>D</w:t>
            </w:r>
            <w:r w:rsidR="00433928" w:rsidRPr="007E3955">
              <w:t>esign effective and efficient options</w:t>
            </w:r>
            <w:r w:rsidR="002C3689">
              <w:t xml:space="preserve"> for meeting program goals</w:t>
            </w:r>
            <w:r w:rsidR="00433928" w:rsidRPr="007E3955">
              <w:t xml:space="preserve"> including the use of </w:t>
            </w:r>
            <w:r w:rsidR="00C5569B">
              <w:t xml:space="preserve">local sources and </w:t>
            </w:r>
            <w:r w:rsidR="00433928" w:rsidRPr="007E3955">
              <w:t>informed choice</w:t>
            </w:r>
            <w:r w:rsidR="002C3689">
              <w:t xml:space="preserve"> by reviewing an agency’s methods for gathering medical and psychological data to determine eligibility</w:t>
            </w:r>
            <w:r w:rsidR="00C5569B">
              <w:t>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>Example scenarios from home base (HB) with group activity.    Summaries of group sessions.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Student presentations.  Random selection.  Sample of HB student work will be emailed to teacher.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554CD6" w:rsidP="00084DF6">
            <w:r>
              <w:t>D</w:t>
            </w:r>
            <w:r w:rsidRPr="007E3955">
              <w:t>esign effective</w:t>
            </w:r>
            <w:r w:rsidR="00084DF6">
              <w:t xml:space="preserve"> and</w:t>
            </w:r>
            <w:r w:rsidR="00433928" w:rsidRPr="007E3955">
              <w:t xml:space="preserve"> efficient options </w:t>
            </w:r>
            <w:r w:rsidR="000F466F">
              <w:t>for achieving program goals</w:t>
            </w:r>
            <w:r w:rsidR="00084DF6">
              <w:t>,</w:t>
            </w:r>
            <w:r w:rsidR="000F466F">
              <w:t xml:space="preserve"> </w:t>
            </w:r>
            <w:r w:rsidR="00433928" w:rsidRPr="007E3955">
              <w:t>including the use of informed choice</w:t>
            </w:r>
            <w:r w:rsidR="00084DF6">
              <w:t>, by investigating the methods used by the agency to o</w:t>
            </w:r>
            <w:r w:rsidR="00F06904">
              <w:t>b</w:t>
            </w:r>
            <w:r w:rsidR="00084DF6">
              <w:t>tain and assess vocational and educational information</w:t>
            </w:r>
            <w:r w:rsidR="00433928" w:rsidRPr="007E3955">
              <w:t>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>Example scenarios from home base with group activity.  Summaries of group sessions.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Student presentations.  Random selection. Sample of HB student work will be emailed to teacher.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0F466F" w:rsidP="00084DF6">
            <w:r>
              <w:lastRenderedPageBreak/>
              <w:t>S</w:t>
            </w:r>
            <w:r w:rsidR="00433928" w:rsidRPr="007E3955">
              <w:t>ummarize any necessary corrections of</w:t>
            </w:r>
            <w:r>
              <w:t xml:space="preserve"> an </w:t>
            </w:r>
            <w:r w:rsidR="00554CD6">
              <w:t>agency’s</w:t>
            </w:r>
            <w:r>
              <w:t xml:space="preserve"> individualized plan for </w:t>
            </w:r>
            <w:r w:rsidR="00554CD6">
              <w:t>employment</w:t>
            </w:r>
            <w:r>
              <w:t xml:space="preserve"> (IPE)</w:t>
            </w:r>
            <w:r w:rsidR="00433928" w:rsidRPr="007E3955">
              <w:t xml:space="preserve"> format and content </w:t>
            </w:r>
            <w:r>
              <w:t xml:space="preserve">by </w:t>
            </w:r>
            <w:r w:rsidR="00554CD6">
              <w:t>c</w:t>
            </w:r>
            <w:r w:rsidR="00554CD6" w:rsidRPr="007E3955">
              <w:t>ritiqui</w:t>
            </w:r>
            <w:r w:rsidR="00554CD6">
              <w:t>ng</w:t>
            </w:r>
            <w:r w:rsidRPr="007E3955">
              <w:t xml:space="preserve"> </w:t>
            </w:r>
            <w:r>
              <w:t xml:space="preserve">the </w:t>
            </w:r>
            <w:r w:rsidRPr="007E3955">
              <w:t xml:space="preserve">agency’s IPE format against the required content in Sec. 102(b)(3) of the </w:t>
            </w:r>
            <w:r>
              <w:t xml:space="preserve">Rehabilitation </w:t>
            </w:r>
            <w:r w:rsidR="00084DF6">
              <w:t>Act.</w:t>
            </w:r>
            <w:r w:rsidRPr="007E3955">
              <w:t xml:space="preserve"> </w:t>
            </w:r>
            <w:r>
              <w:t xml:space="preserve"> 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433928">
            <w:r w:rsidRPr="00513D25">
              <w:t>Example scenarios from home base with group activity.</w:t>
            </w:r>
          </w:p>
          <w:p w:rsidR="00433928" w:rsidRPr="00513D25" w:rsidRDefault="00433928">
            <w:r w:rsidRPr="00513D25">
              <w:t>Summaries of group sessions.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Student presentations.  Random selection. Sample of HB student work will be emailed to teacher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C674E2">
            <w:r w:rsidRPr="007E3955">
              <w:t xml:space="preserve">Prepare three examples of criteria for use in the IPE to evaluate progress toward achievement of the employment outcome in accordance with Sec. 102(b)(3)(D) of the </w:t>
            </w:r>
            <w:r w:rsidR="00115104">
              <w:t xml:space="preserve">Rehabilitation </w:t>
            </w:r>
            <w:r w:rsidRPr="007E3955">
              <w:t>Act.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691330">
            <w:r>
              <w:t>During class we will discuss options based in part on example scenarios for home base.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691330">
            <w:r w:rsidRPr="00513D25">
              <w:t xml:space="preserve">Student presentations.   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084DF6">
            <w:r w:rsidRPr="007E3955">
              <w:t xml:space="preserve">Analyze at least one VR service listed under Sec. 103(a) of the </w:t>
            </w:r>
            <w:r w:rsidR="00115104">
              <w:t xml:space="preserve">Rehabilitation </w:t>
            </w:r>
            <w:r w:rsidRPr="007E3955">
              <w:t>Act</w:t>
            </w:r>
            <w:r w:rsidR="00084DF6">
              <w:t>,</w:t>
            </w:r>
            <w:r w:rsidRPr="007E3955">
              <w:t xml:space="preserve"> categoriz</w:t>
            </w:r>
            <w:r w:rsidR="00084DF6">
              <w:t>ing</w:t>
            </w:r>
            <w:r w:rsidRPr="007E3955">
              <w:t xml:space="preserve"> it as a core or supportive </w:t>
            </w:r>
            <w:r w:rsidR="00084DF6" w:rsidRPr="007E3955">
              <w:t>service</w:t>
            </w:r>
            <w:r w:rsidR="00084DF6">
              <w:t xml:space="preserve">, </w:t>
            </w:r>
            <w:r w:rsidRPr="007E3955">
              <w:t>and describ</w:t>
            </w:r>
            <w:r w:rsidR="00084DF6">
              <w:t>ing</w:t>
            </w:r>
            <w:r w:rsidRPr="007E3955">
              <w:t xml:space="preserve"> policy issues </w:t>
            </w:r>
            <w:r w:rsidR="00084DF6">
              <w:t>an</w:t>
            </w:r>
            <w:r w:rsidR="00084DF6" w:rsidRPr="007E3955">
              <w:t xml:space="preserve"> </w:t>
            </w:r>
            <w:r w:rsidRPr="007E3955">
              <w:t>agency should consider when authorizing that service.</w:t>
            </w:r>
          </w:p>
        </w:tc>
        <w:tc>
          <w:tcPr>
            <w:tcW w:w="3240" w:type="dxa"/>
            <w:shd w:val="clear" w:color="auto" w:fill="E6E6E6"/>
          </w:tcPr>
          <w:p w:rsidR="00691330" w:rsidRDefault="00691330">
            <w:r w:rsidRPr="00513D25">
              <w:t>During class we will discuss each of the18 VR services. Summaries of group sessions.</w:t>
            </w:r>
          </w:p>
          <w:p w:rsidR="00433928" w:rsidRPr="00513D25" w:rsidRDefault="00433928">
            <w:r w:rsidRPr="00513D25">
              <w:t>Dialog in large and small groups.  Summaries of group sessions.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691330">
            <w:r w:rsidRPr="00513D25">
              <w:t>Student essays.</w:t>
            </w:r>
          </w:p>
        </w:tc>
      </w:tr>
      <w:tr w:rsidR="00433928">
        <w:trPr>
          <w:trHeight w:val="720"/>
        </w:trPr>
        <w:tc>
          <w:tcPr>
            <w:tcW w:w="3168" w:type="dxa"/>
            <w:shd w:val="clear" w:color="auto" w:fill="E6E6E6"/>
          </w:tcPr>
          <w:p w:rsidR="00433928" w:rsidRPr="008B327B" w:rsidRDefault="00433928" w:rsidP="00084DF6">
            <w:r w:rsidRPr="007E3955">
              <w:t xml:space="preserve">Describe </w:t>
            </w:r>
            <w:r w:rsidR="00084DF6">
              <w:t xml:space="preserve">the </w:t>
            </w:r>
            <w:r w:rsidRPr="007E3955">
              <w:t xml:space="preserve">criteria </w:t>
            </w:r>
            <w:r w:rsidR="00084DF6">
              <w:t>to</w:t>
            </w:r>
            <w:r w:rsidR="00084DF6" w:rsidRPr="007E3955">
              <w:t xml:space="preserve"> </w:t>
            </w:r>
            <w:r w:rsidRPr="007E3955">
              <w:t xml:space="preserve">use when determining time to close </w:t>
            </w:r>
            <w:r w:rsidR="00084DF6">
              <w:t xml:space="preserve">both successful </w:t>
            </w:r>
            <w:r w:rsidR="00554CD6">
              <w:t xml:space="preserve">and </w:t>
            </w:r>
            <w:r w:rsidR="00554CD6" w:rsidRPr="007E3955">
              <w:t>unsuccessful</w:t>
            </w:r>
            <w:r w:rsidRPr="007E3955">
              <w:t xml:space="preserve"> </w:t>
            </w:r>
            <w:r w:rsidR="00084DF6">
              <w:t xml:space="preserve">cases </w:t>
            </w:r>
            <w:r w:rsidRPr="007E3955">
              <w:t xml:space="preserve">after </w:t>
            </w:r>
            <w:r w:rsidR="00084DF6">
              <w:t>the case</w:t>
            </w:r>
            <w:r w:rsidR="00084DF6" w:rsidRPr="007E3955">
              <w:t xml:space="preserve"> </w:t>
            </w:r>
            <w:r w:rsidR="00084DF6">
              <w:t>has been</w:t>
            </w:r>
            <w:r w:rsidR="00084DF6" w:rsidRPr="007E3955">
              <w:t xml:space="preserve"> </w:t>
            </w:r>
            <w:r w:rsidRPr="007E3955">
              <w:t>determined eligible</w:t>
            </w:r>
            <w:r w:rsidR="00084DF6">
              <w:t>,</w:t>
            </w:r>
            <w:r w:rsidRPr="007E3955">
              <w:t xml:space="preserve"> follow</w:t>
            </w:r>
            <w:r w:rsidR="00084DF6">
              <w:t>ing</w:t>
            </w:r>
            <w:r w:rsidRPr="007E3955">
              <w:t xml:space="preserve"> the criteria for documenting that decision</w:t>
            </w:r>
            <w:r w:rsidR="008C5A68">
              <w:t>.</w:t>
            </w:r>
          </w:p>
        </w:tc>
        <w:tc>
          <w:tcPr>
            <w:tcW w:w="3240" w:type="dxa"/>
            <w:shd w:val="clear" w:color="auto" w:fill="E6E6E6"/>
          </w:tcPr>
          <w:p w:rsidR="00433928" w:rsidRPr="00513D25" w:rsidRDefault="00691330">
            <w:r w:rsidRPr="00513D25">
              <w:t>Presen</w:t>
            </w:r>
            <w:r>
              <w:t>tation of services to groups.</w:t>
            </w:r>
            <w:r w:rsidRPr="00513D25">
              <w:t xml:space="preserve">  Summaries of group sessions</w:t>
            </w:r>
            <w:r w:rsidR="00433928" w:rsidRPr="00513D25">
              <w:t xml:space="preserve"> </w:t>
            </w:r>
          </w:p>
        </w:tc>
        <w:tc>
          <w:tcPr>
            <w:tcW w:w="3600" w:type="dxa"/>
            <w:shd w:val="clear" w:color="auto" w:fill="E6E6E6"/>
          </w:tcPr>
          <w:p w:rsidR="00433928" w:rsidRPr="00513D25" w:rsidRDefault="00433928">
            <w:r w:rsidRPr="00513D25">
              <w:t>Sample of HB student work will be emailed to the teacher.</w:t>
            </w:r>
          </w:p>
        </w:tc>
      </w:tr>
      <w:tr w:rsidR="008C5A68">
        <w:trPr>
          <w:trHeight w:val="720"/>
        </w:trPr>
        <w:tc>
          <w:tcPr>
            <w:tcW w:w="3168" w:type="dxa"/>
            <w:shd w:val="clear" w:color="auto" w:fill="E6E6E6"/>
          </w:tcPr>
          <w:p w:rsidR="008C5A68" w:rsidRPr="007E3955" w:rsidRDefault="008C5A68" w:rsidP="00084DF6">
            <w:r>
              <w:t xml:space="preserve">Review </w:t>
            </w:r>
            <w:r w:rsidR="00084DF6">
              <w:t xml:space="preserve">an </w:t>
            </w:r>
            <w:r>
              <w:t>agency’s methods for gathering reporting information</w:t>
            </w:r>
            <w:r w:rsidR="00554CD6">
              <w:t>, considering</w:t>
            </w:r>
            <w:r>
              <w:t xml:space="preserve"> efficient alternatives.</w:t>
            </w:r>
          </w:p>
        </w:tc>
        <w:tc>
          <w:tcPr>
            <w:tcW w:w="3240" w:type="dxa"/>
            <w:shd w:val="clear" w:color="auto" w:fill="E6E6E6"/>
          </w:tcPr>
          <w:p w:rsidR="008C5A68" w:rsidRPr="00513D25" w:rsidRDefault="001A152F">
            <w:r>
              <w:t>Group discussions</w:t>
            </w:r>
          </w:p>
        </w:tc>
        <w:tc>
          <w:tcPr>
            <w:tcW w:w="3600" w:type="dxa"/>
            <w:shd w:val="clear" w:color="auto" w:fill="E6E6E6"/>
          </w:tcPr>
          <w:p w:rsidR="008C5A68" w:rsidRPr="00513D25" w:rsidRDefault="001A152F" w:rsidP="001A152F">
            <w:r>
              <w:t>Random presentations.</w:t>
            </w:r>
          </w:p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Pr="00ED6864" w:rsidRDefault="00ED6864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</w:t>
      </w:r>
      <w:r w:rsidR="00EE4A12" w:rsidRPr="00ED6864">
        <w:rPr>
          <w:rFonts w:ascii="Arial" w:hAnsi="Arial" w:cs="Arial"/>
          <w:b/>
          <w:sz w:val="22"/>
          <w:szCs w:val="22"/>
        </w:rPr>
        <w:t xml:space="preserve">ist the NWIC outcomes and course outcomes from above on your syllabus.    </w:t>
      </w:r>
    </w:p>
    <w:p w:rsidR="00EE4A12" w:rsidRPr="00ED6864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Pr="00ED6864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D.  </w:t>
      </w:r>
      <w:r w:rsidR="00ED6864" w:rsidRPr="00ED6864">
        <w:rPr>
          <w:rFonts w:ascii="Arial" w:hAnsi="Arial" w:cs="Arial"/>
          <w:b/>
          <w:sz w:val="22"/>
          <w:szCs w:val="22"/>
        </w:rPr>
        <w:t>A</w:t>
      </w:r>
      <w:r w:rsidRPr="00ED6864">
        <w:rPr>
          <w:rFonts w:ascii="Arial" w:hAnsi="Arial" w:cs="Arial"/>
          <w:b/>
          <w:sz w:val="22"/>
          <w:szCs w:val="22"/>
        </w:rPr>
        <w:t xml:space="preserve">ssess the NWIC outcomes and course outcomes, which are listed above, in your classes.    </w:t>
      </w:r>
    </w:p>
    <w:sectPr w:rsidR="00EE4A12" w:rsidRPr="00ED6864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F8" w:rsidRDefault="00F425F8">
      <w:r>
        <w:separator/>
      </w:r>
    </w:p>
  </w:endnote>
  <w:endnote w:type="continuationSeparator" w:id="0">
    <w:p w:rsidR="00F425F8" w:rsidRDefault="00F4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3A7" w:rsidRPr="00C82444" w:rsidRDefault="008303A7" w:rsidP="00C82444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D57C6C">
      <w:rPr>
        <w:noProof/>
        <w:sz w:val="16"/>
      </w:rPr>
      <w:t>TVRS 303 Course Outcomes TVR Foundations 3 - for first reading at CC 4-10-2014.docx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F8" w:rsidRDefault="00F425F8">
      <w:r>
        <w:separator/>
      </w:r>
    </w:p>
  </w:footnote>
  <w:footnote w:type="continuationSeparator" w:id="0">
    <w:p w:rsidR="00F425F8" w:rsidRDefault="00F4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139B3"/>
    <w:rsid w:val="00050FAC"/>
    <w:rsid w:val="00065F84"/>
    <w:rsid w:val="000776C7"/>
    <w:rsid w:val="00080C20"/>
    <w:rsid w:val="00084DF6"/>
    <w:rsid w:val="000911EE"/>
    <w:rsid w:val="000B1359"/>
    <w:rsid w:val="000C14E3"/>
    <w:rsid w:val="000F466F"/>
    <w:rsid w:val="00115104"/>
    <w:rsid w:val="00133FED"/>
    <w:rsid w:val="00141EE3"/>
    <w:rsid w:val="00167FC8"/>
    <w:rsid w:val="001A152F"/>
    <w:rsid w:val="001E7574"/>
    <w:rsid w:val="0021707D"/>
    <w:rsid w:val="00253042"/>
    <w:rsid w:val="00283AB9"/>
    <w:rsid w:val="002869A9"/>
    <w:rsid w:val="002A28AF"/>
    <w:rsid w:val="002A54B0"/>
    <w:rsid w:val="002B4D12"/>
    <w:rsid w:val="002B7C53"/>
    <w:rsid w:val="002C254E"/>
    <w:rsid w:val="002C3689"/>
    <w:rsid w:val="002F0DD6"/>
    <w:rsid w:val="0030415D"/>
    <w:rsid w:val="00317E39"/>
    <w:rsid w:val="00387E37"/>
    <w:rsid w:val="00397A05"/>
    <w:rsid w:val="003C1A7E"/>
    <w:rsid w:val="003C2DFD"/>
    <w:rsid w:val="003E133D"/>
    <w:rsid w:val="00433928"/>
    <w:rsid w:val="0048254D"/>
    <w:rsid w:val="004B1E7A"/>
    <w:rsid w:val="004C2A37"/>
    <w:rsid w:val="0050201B"/>
    <w:rsid w:val="00513D25"/>
    <w:rsid w:val="00527390"/>
    <w:rsid w:val="005404A9"/>
    <w:rsid w:val="00553D78"/>
    <w:rsid w:val="00554CD6"/>
    <w:rsid w:val="00584F97"/>
    <w:rsid w:val="00586D14"/>
    <w:rsid w:val="00595B25"/>
    <w:rsid w:val="005B4857"/>
    <w:rsid w:val="005F5C94"/>
    <w:rsid w:val="00606F6E"/>
    <w:rsid w:val="006077CA"/>
    <w:rsid w:val="00691330"/>
    <w:rsid w:val="006A66E3"/>
    <w:rsid w:val="006B3E8F"/>
    <w:rsid w:val="006F0323"/>
    <w:rsid w:val="00713E49"/>
    <w:rsid w:val="00715B91"/>
    <w:rsid w:val="00735E22"/>
    <w:rsid w:val="00764E04"/>
    <w:rsid w:val="0079459C"/>
    <w:rsid w:val="00795C52"/>
    <w:rsid w:val="007A60C8"/>
    <w:rsid w:val="007B6D72"/>
    <w:rsid w:val="007E7FAF"/>
    <w:rsid w:val="00806466"/>
    <w:rsid w:val="008303A7"/>
    <w:rsid w:val="00875C02"/>
    <w:rsid w:val="008B0329"/>
    <w:rsid w:val="008C5A68"/>
    <w:rsid w:val="00902535"/>
    <w:rsid w:val="00923F06"/>
    <w:rsid w:val="00930E0B"/>
    <w:rsid w:val="00954B87"/>
    <w:rsid w:val="009649B9"/>
    <w:rsid w:val="009A4D0F"/>
    <w:rsid w:val="009C28AE"/>
    <w:rsid w:val="009F2FF8"/>
    <w:rsid w:val="00A13E6C"/>
    <w:rsid w:val="00A27152"/>
    <w:rsid w:val="00A5772E"/>
    <w:rsid w:val="00A75A11"/>
    <w:rsid w:val="00A8351E"/>
    <w:rsid w:val="00A85DBB"/>
    <w:rsid w:val="00AC5DC4"/>
    <w:rsid w:val="00B130D8"/>
    <w:rsid w:val="00B13FF2"/>
    <w:rsid w:val="00B51A08"/>
    <w:rsid w:val="00B606EF"/>
    <w:rsid w:val="00BB014C"/>
    <w:rsid w:val="00BF7321"/>
    <w:rsid w:val="00C028C6"/>
    <w:rsid w:val="00C07267"/>
    <w:rsid w:val="00C47F43"/>
    <w:rsid w:val="00C5569B"/>
    <w:rsid w:val="00C60136"/>
    <w:rsid w:val="00C61FAC"/>
    <w:rsid w:val="00C650FA"/>
    <w:rsid w:val="00C674E2"/>
    <w:rsid w:val="00C82444"/>
    <w:rsid w:val="00D46DDC"/>
    <w:rsid w:val="00D57C6C"/>
    <w:rsid w:val="00D70C8E"/>
    <w:rsid w:val="00D83F0C"/>
    <w:rsid w:val="00E51E91"/>
    <w:rsid w:val="00ED6864"/>
    <w:rsid w:val="00EE4A12"/>
    <w:rsid w:val="00F06904"/>
    <w:rsid w:val="00F15A3F"/>
    <w:rsid w:val="00F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apple-converted-space">
    <w:name w:val="apple-converted-space"/>
    <w:basedOn w:val="DefaultParagraphFont"/>
    <w:rsid w:val="00BF7321"/>
  </w:style>
  <w:style w:type="character" w:customStyle="1" w:styleId="Heading1Char">
    <w:name w:val="Heading 1 Char"/>
    <w:link w:val="Heading1"/>
    <w:rsid w:val="00764E04"/>
    <w:rPr>
      <w:bCs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0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DD6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apple-converted-space">
    <w:name w:val="apple-converted-space"/>
    <w:basedOn w:val="DefaultParagraphFont"/>
    <w:rsid w:val="00BF7321"/>
  </w:style>
  <w:style w:type="character" w:customStyle="1" w:styleId="Heading1Char">
    <w:name w:val="Heading 1 Char"/>
    <w:link w:val="Heading1"/>
    <w:rsid w:val="00764E04"/>
    <w:rPr>
      <w:bCs/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0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DD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27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024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2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0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5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/course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6714</CharactersWithSpaces>
  <SharedDoc>false</SharedDoc>
  <HLinks>
    <vt:vector size="6" baseType="variant">
      <vt:variant>
        <vt:i4>8192112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http://www.nwic.edu/assessment/course-outcomes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Ted Williams</cp:lastModifiedBy>
  <cp:revision>5</cp:revision>
  <cp:lastPrinted>2014-03-11T23:15:00Z</cp:lastPrinted>
  <dcterms:created xsi:type="dcterms:W3CDTF">2014-04-10T03:30:00Z</dcterms:created>
  <dcterms:modified xsi:type="dcterms:W3CDTF">2014-04-10T03:33:00Z</dcterms:modified>
</cp:coreProperties>
</file>