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818" w:rsidRDefault="009203EE" w:rsidP="009203EE">
      <w:pPr>
        <w:jc w:val="center"/>
        <w:rPr>
          <w:b/>
          <w:sz w:val="24"/>
          <w:szCs w:val="24"/>
        </w:rPr>
      </w:pPr>
      <w:r w:rsidRPr="00E61E96">
        <w:rPr>
          <w:b/>
          <w:sz w:val="24"/>
          <w:szCs w:val="24"/>
        </w:rPr>
        <w:t xml:space="preserve">Proposed </w:t>
      </w:r>
      <w:r w:rsidR="00E71818">
        <w:rPr>
          <w:b/>
          <w:sz w:val="24"/>
          <w:szCs w:val="24"/>
        </w:rPr>
        <w:t>Revisions</w:t>
      </w:r>
      <w:r w:rsidR="001221BF" w:rsidRPr="00E61E96">
        <w:rPr>
          <w:b/>
          <w:sz w:val="24"/>
          <w:szCs w:val="24"/>
        </w:rPr>
        <w:t xml:space="preserve"> to </w:t>
      </w:r>
      <w:r w:rsidRPr="00E61E96">
        <w:rPr>
          <w:b/>
          <w:sz w:val="24"/>
          <w:szCs w:val="24"/>
        </w:rPr>
        <w:t xml:space="preserve">Program and Advising </w:t>
      </w:r>
      <w:r w:rsidR="001221BF" w:rsidRPr="00E61E96">
        <w:rPr>
          <w:b/>
          <w:sz w:val="24"/>
          <w:szCs w:val="24"/>
        </w:rPr>
        <w:t>Guidelines</w:t>
      </w:r>
      <w:r w:rsidRPr="00E61E96">
        <w:rPr>
          <w:b/>
          <w:sz w:val="24"/>
          <w:szCs w:val="24"/>
        </w:rPr>
        <w:t xml:space="preserve"> </w:t>
      </w:r>
      <w:r w:rsidR="00E71818">
        <w:rPr>
          <w:b/>
          <w:sz w:val="24"/>
          <w:szCs w:val="24"/>
        </w:rPr>
        <w:t>C</w:t>
      </w:r>
      <w:r w:rsidR="001221BF" w:rsidRPr="00E61E96">
        <w:rPr>
          <w:b/>
          <w:sz w:val="24"/>
          <w:szCs w:val="24"/>
        </w:rPr>
        <w:t xml:space="preserve">oncerning </w:t>
      </w:r>
      <w:r w:rsidRPr="00E61E96">
        <w:rPr>
          <w:b/>
          <w:sz w:val="24"/>
          <w:szCs w:val="24"/>
        </w:rPr>
        <w:t xml:space="preserve">the CSOV 300 Requirement </w:t>
      </w:r>
    </w:p>
    <w:p w:rsidR="009203EE" w:rsidRPr="00E61E96" w:rsidRDefault="009203EE" w:rsidP="009203EE">
      <w:pPr>
        <w:jc w:val="center"/>
        <w:rPr>
          <w:b/>
          <w:sz w:val="24"/>
          <w:szCs w:val="24"/>
        </w:rPr>
      </w:pPr>
      <w:r w:rsidRPr="00E61E96">
        <w:rPr>
          <w:b/>
          <w:sz w:val="24"/>
          <w:szCs w:val="24"/>
        </w:rPr>
        <w:t>for Students Entering an NWIC Bachelor’s Program at the Junior Level</w:t>
      </w:r>
    </w:p>
    <w:p w:rsidR="009203EE" w:rsidRPr="00E61E96" w:rsidRDefault="009203EE" w:rsidP="00C31CEB">
      <w:pPr>
        <w:jc w:val="center"/>
        <w:rPr>
          <w:b/>
          <w:sz w:val="10"/>
          <w:szCs w:val="10"/>
        </w:rPr>
      </w:pPr>
    </w:p>
    <w:p w:rsidR="00CD1949" w:rsidRDefault="005E4006">
      <w:r>
        <w:rPr>
          <w:u w:val="single"/>
        </w:rPr>
        <w:t>Purpose</w:t>
      </w:r>
      <w:r>
        <w:t xml:space="preserve">: </w:t>
      </w:r>
      <w:r w:rsidR="00455D43">
        <w:t xml:space="preserve">At present, bachelor’s programs at NWIC contain a Four Year Option and a Transfer Option. </w:t>
      </w:r>
      <w:r w:rsidR="00CD1949">
        <w:t xml:space="preserve">The intention when the two options were developed was that students who had completed an approved associate’s degree (an associate’s degree with a complete set of general education requirements, typically an AAS direct transfer degree) would be able to </w:t>
      </w:r>
      <w:r>
        <w:t>complete</w:t>
      </w:r>
      <w:r w:rsidR="00CD1949">
        <w:t xml:space="preserve"> a single foundational course, CSOV 300, rather than </w:t>
      </w:r>
      <w:r>
        <w:t xml:space="preserve">taking </w:t>
      </w:r>
      <w:r w:rsidR="00CD1949">
        <w:t xml:space="preserve">the full set of seven courses in the Foundational Requirements. The Transfer Option, as it is currently used, applies to </w:t>
      </w:r>
      <w:r>
        <w:t xml:space="preserve">all </w:t>
      </w:r>
      <w:r w:rsidR="00CD1949">
        <w:t>students who complete an approved associate’s degree at NWIC or at another college.</w:t>
      </w:r>
    </w:p>
    <w:p w:rsidR="00CD1949" w:rsidRPr="00F949C2" w:rsidRDefault="00CD1949">
      <w:pPr>
        <w:rPr>
          <w:sz w:val="12"/>
          <w:szCs w:val="12"/>
        </w:rPr>
      </w:pPr>
    </w:p>
    <w:p w:rsidR="00FF2E2E" w:rsidRDefault="00B10D8E">
      <w:r>
        <w:t>Since that time, the Native Studies Leadership D</w:t>
      </w:r>
      <w:r w:rsidR="00455D43">
        <w:t>epartment has recognized that some students who complete an associate’s degree at NWIC, particularly those who have taken som</w:t>
      </w:r>
      <w:r w:rsidR="001A05B3">
        <w:t>e of the Foundation Requirement courses</w:t>
      </w:r>
      <w:r w:rsidR="00455D43">
        <w:t xml:space="preserve">, </w:t>
      </w:r>
      <w:r w:rsidR="00FF2E2E">
        <w:t xml:space="preserve">already have the necessary foundational knowledge and </w:t>
      </w:r>
      <w:r w:rsidR="00455D43">
        <w:t>do not need to complete CSOV 300. Thus, there is a need to clarify both the language in the program of study and the advising guidelines</w:t>
      </w:r>
      <w:r w:rsidR="00633F40">
        <w:t xml:space="preserve"> for students entering </w:t>
      </w:r>
      <w:r w:rsidR="005E4006">
        <w:t xml:space="preserve">any of the </w:t>
      </w:r>
      <w:r w:rsidR="00633F40">
        <w:t>bachelor’s programs at the junior level</w:t>
      </w:r>
      <w:r w:rsidR="00455D43">
        <w:t xml:space="preserve">. </w:t>
      </w:r>
      <w:r w:rsidR="009203EE">
        <w:t xml:space="preserve"> </w:t>
      </w:r>
      <w:r w:rsidR="005E4006">
        <w:t>The proposed changes described below seek to correct and clarify this situation.</w:t>
      </w:r>
    </w:p>
    <w:p w:rsidR="00FF2E2E" w:rsidRDefault="00FF2E2E"/>
    <w:p w:rsidR="001221BF" w:rsidRPr="00D73E39" w:rsidRDefault="009203EE">
      <w:pPr>
        <w:rPr>
          <w:u w:val="single"/>
        </w:rPr>
      </w:pPr>
      <w:r w:rsidRPr="00D73E39">
        <w:rPr>
          <w:u w:val="single"/>
        </w:rPr>
        <w:t>T</w:t>
      </w:r>
      <w:r w:rsidR="001221BF" w:rsidRPr="00D73E39">
        <w:rPr>
          <w:u w:val="single"/>
        </w:rPr>
        <w:t>his document proposes two changes:</w:t>
      </w:r>
    </w:p>
    <w:p w:rsidR="00455D43" w:rsidRPr="00C85EE6" w:rsidRDefault="00455D43">
      <w:pPr>
        <w:rPr>
          <w:sz w:val="8"/>
          <w:szCs w:val="8"/>
        </w:rPr>
      </w:pPr>
    </w:p>
    <w:p w:rsidR="001221BF" w:rsidRDefault="009536AB" w:rsidP="00633F40">
      <w:pPr>
        <w:pStyle w:val="ListParagraph"/>
        <w:numPr>
          <w:ilvl w:val="0"/>
          <w:numId w:val="6"/>
        </w:numPr>
        <w:ind w:left="360"/>
      </w:pPr>
      <w:r>
        <w:t>Revise bachelor’s programs: m</w:t>
      </w:r>
      <w:r w:rsidR="003013D3">
        <w:t xml:space="preserve">odify the </w:t>
      </w:r>
      <w:r w:rsidR="000F0F96">
        <w:t>paragraph describing</w:t>
      </w:r>
      <w:r w:rsidR="003013D3">
        <w:t xml:space="preserve"> the</w:t>
      </w:r>
      <w:r w:rsidR="00455D43">
        <w:t xml:space="preserve"> </w:t>
      </w:r>
      <w:r>
        <w:t>“</w:t>
      </w:r>
      <w:r w:rsidR="00455D43">
        <w:t>T</w:t>
      </w:r>
      <w:r w:rsidR="009203EE">
        <w:t xml:space="preserve">ransfer </w:t>
      </w:r>
      <w:r w:rsidR="00455D43">
        <w:t>O</w:t>
      </w:r>
      <w:r w:rsidR="001221BF">
        <w:t>ption</w:t>
      </w:r>
      <w:r>
        <w:t>”</w:t>
      </w:r>
      <w:r w:rsidR="001221BF">
        <w:t xml:space="preserve"> </w:t>
      </w:r>
      <w:r w:rsidR="009203EE">
        <w:t xml:space="preserve">in </w:t>
      </w:r>
      <w:r w:rsidR="00FF2E2E">
        <w:t xml:space="preserve">all of </w:t>
      </w:r>
      <w:r w:rsidR="009203EE">
        <w:t>the</w:t>
      </w:r>
      <w:r w:rsidR="000F0F96">
        <w:t xml:space="preserve"> bachelor’s programs </w:t>
      </w:r>
      <w:r w:rsidR="00FF2E2E">
        <w:t xml:space="preserve">and </w:t>
      </w:r>
      <w:r>
        <w:t>replace</w:t>
      </w:r>
      <w:r w:rsidR="00F533FD">
        <w:t xml:space="preserve"> the </w:t>
      </w:r>
      <w:r w:rsidR="008A408B">
        <w:t>headings</w:t>
      </w:r>
      <w:r w:rsidR="00F533FD">
        <w:t xml:space="preserve"> </w:t>
      </w:r>
      <w:r w:rsidR="008A408B">
        <w:t xml:space="preserve">“Four Year Option” and </w:t>
      </w:r>
      <w:r w:rsidR="003013D3">
        <w:t>“</w:t>
      </w:r>
      <w:r w:rsidR="008A408B">
        <w:t>T</w:t>
      </w:r>
      <w:r w:rsidR="00F533FD">
        <w:t>ransfer</w:t>
      </w:r>
      <w:r w:rsidR="008A408B">
        <w:t xml:space="preserve"> O</w:t>
      </w:r>
      <w:r w:rsidR="00633F40">
        <w:t>ption</w:t>
      </w:r>
      <w:r w:rsidR="003013D3">
        <w:t>”</w:t>
      </w:r>
      <w:r w:rsidR="00F533FD">
        <w:t xml:space="preserve"> by more </w:t>
      </w:r>
      <w:r w:rsidR="000F0F96">
        <w:t>appropriate</w:t>
      </w:r>
      <w:r w:rsidR="00F533FD">
        <w:t xml:space="preserve"> term</w:t>
      </w:r>
      <w:r w:rsidR="008A408B">
        <w:t xml:space="preserve">s, </w:t>
      </w:r>
      <w:r w:rsidR="000F0F96">
        <w:t xml:space="preserve">which necessitates program revisions and Curriculum Committee approval, </w:t>
      </w:r>
      <w:r w:rsidR="001221BF">
        <w:t xml:space="preserve">and </w:t>
      </w:r>
    </w:p>
    <w:p w:rsidR="001221BF" w:rsidRPr="00E61E96" w:rsidRDefault="001221BF" w:rsidP="00633F40">
      <w:pPr>
        <w:pStyle w:val="ListParagraph"/>
        <w:ind w:left="360"/>
        <w:rPr>
          <w:sz w:val="12"/>
          <w:szCs w:val="12"/>
        </w:rPr>
      </w:pPr>
    </w:p>
    <w:p w:rsidR="009203EE" w:rsidRDefault="009536AB" w:rsidP="00633F40">
      <w:pPr>
        <w:pStyle w:val="ListParagraph"/>
        <w:numPr>
          <w:ilvl w:val="0"/>
          <w:numId w:val="6"/>
        </w:numPr>
        <w:ind w:left="360"/>
      </w:pPr>
      <w:r>
        <w:t xml:space="preserve">Articulate advising guidelines: the guidelines </w:t>
      </w:r>
      <w:r w:rsidR="001221BF">
        <w:t>clarify which students should be advised to enroll in CSOV 300</w:t>
      </w:r>
      <w:r w:rsidR="00633F40">
        <w:t>,</w:t>
      </w:r>
      <w:r w:rsidR="001221BF">
        <w:t xml:space="preserve"> which should be advised to complete </w:t>
      </w:r>
      <w:r w:rsidR="00131580">
        <w:t>upper division</w:t>
      </w:r>
      <w:r w:rsidR="001221BF">
        <w:t xml:space="preserve"> coursework</w:t>
      </w:r>
      <w:r w:rsidR="00FF2E2E">
        <w:t xml:space="preserve"> </w:t>
      </w:r>
      <w:r w:rsidR="007629C6">
        <w:t>rather</w:t>
      </w:r>
      <w:r w:rsidR="00FF2E2E">
        <w:t xml:space="preserve"> than CSOV 300</w:t>
      </w:r>
      <w:r w:rsidR="00633F40">
        <w:t xml:space="preserve">, and which </w:t>
      </w:r>
      <w:r w:rsidR="00FF2E2E">
        <w:t xml:space="preserve">students </w:t>
      </w:r>
      <w:r w:rsidR="00633F40">
        <w:t xml:space="preserve">should be referred to </w:t>
      </w:r>
      <w:r w:rsidR="00131580">
        <w:t>the</w:t>
      </w:r>
      <w:r>
        <w:t xml:space="preserve"> Native Studies Leadership </w:t>
      </w:r>
      <w:r w:rsidR="00352540">
        <w:t>department</w:t>
      </w:r>
      <w:r w:rsidR="00633F40">
        <w:t xml:space="preserve"> </w:t>
      </w:r>
      <w:r w:rsidR="00352540">
        <w:t>c</w:t>
      </w:r>
      <w:r w:rsidR="00633F40">
        <w:t>hair for further advising</w:t>
      </w:r>
      <w:r w:rsidR="001221BF">
        <w:t>.</w:t>
      </w:r>
      <w:r w:rsidR="00352540">
        <w:t xml:space="preserve"> </w:t>
      </w:r>
      <w:r w:rsidR="000F0F96">
        <w:t>The advising guidelines require approval by the Vice President of Instruction and Student Services.</w:t>
      </w:r>
    </w:p>
    <w:p w:rsidR="009203EE" w:rsidRDefault="009203EE"/>
    <w:p w:rsidR="001221BF" w:rsidRPr="00633F40" w:rsidRDefault="001221BF" w:rsidP="00633F40">
      <w:pPr>
        <w:rPr>
          <w:u w:val="single"/>
        </w:rPr>
      </w:pPr>
      <w:r w:rsidRPr="00633F40">
        <w:rPr>
          <w:u w:val="single"/>
        </w:rPr>
        <w:t>Program Revision</w:t>
      </w:r>
      <w:r w:rsidR="005E4006">
        <w:rPr>
          <w:u w:val="single"/>
        </w:rPr>
        <w:t>s</w:t>
      </w:r>
    </w:p>
    <w:p w:rsidR="00D73E39" w:rsidRDefault="000F0F96">
      <w:r>
        <w:t xml:space="preserve">The </w:t>
      </w:r>
      <w:r w:rsidR="00C85EE6">
        <w:t>proposed</w:t>
      </w:r>
      <w:r>
        <w:t xml:space="preserve"> </w:t>
      </w:r>
      <w:r w:rsidR="00D73E39">
        <w:t>program revision</w:t>
      </w:r>
      <w:r>
        <w:t>s</w:t>
      </w:r>
      <w:r w:rsidR="00D73E39">
        <w:t xml:space="preserve"> </w:t>
      </w:r>
      <w:r>
        <w:t xml:space="preserve">are included in the attached </w:t>
      </w:r>
      <w:r w:rsidR="00C85EE6">
        <w:t xml:space="preserve">BANSL program of study </w:t>
      </w:r>
      <w:r>
        <w:t>as it is to appear in the college catalog. The proposed changes to the program of study for all of the bachelor’s programs are:</w:t>
      </w:r>
    </w:p>
    <w:p w:rsidR="00D73E39" w:rsidRPr="00C85EE6" w:rsidRDefault="00D73E39">
      <w:pPr>
        <w:rPr>
          <w:sz w:val="12"/>
          <w:szCs w:val="12"/>
        </w:rPr>
      </w:pPr>
    </w:p>
    <w:p w:rsidR="00C85EE6" w:rsidRDefault="00455D43" w:rsidP="00C85EE6">
      <w:pPr>
        <w:pStyle w:val="ListParagraph"/>
        <w:numPr>
          <w:ilvl w:val="0"/>
          <w:numId w:val="14"/>
        </w:numPr>
        <w:ind w:left="360"/>
      </w:pPr>
      <w:r>
        <w:t>The heading</w:t>
      </w:r>
      <w:r w:rsidR="008A408B">
        <w:t>s</w:t>
      </w:r>
      <w:r>
        <w:t xml:space="preserve"> </w:t>
      </w:r>
      <w:r w:rsidR="008A408B">
        <w:t xml:space="preserve">“Four Year Option” </w:t>
      </w:r>
      <w:r w:rsidR="001A05B3">
        <w:t>would be changed to “Freshman Entry Option”</w:t>
      </w:r>
      <w:r w:rsidR="009536AB">
        <w:t xml:space="preserve"> and “Transfer Option” would be changed to “Junior Entry Option.</w:t>
      </w:r>
      <w:r w:rsidR="008A408B">
        <w:t xml:space="preserve">” </w:t>
      </w:r>
    </w:p>
    <w:p w:rsidR="00C85EE6" w:rsidRPr="00F949C2" w:rsidRDefault="00C85EE6" w:rsidP="00C85EE6">
      <w:pPr>
        <w:pStyle w:val="ListParagraph"/>
        <w:ind w:left="360"/>
        <w:rPr>
          <w:sz w:val="12"/>
          <w:szCs w:val="12"/>
        </w:rPr>
      </w:pPr>
    </w:p>
    <w:p w:rsidR="00C85EE6" w:rsidRPr="00C85EE6" w:rsidRDefault="008A408B" w:rsidP="00C85EE6">
      <w:pPr>
        <w:pStyle w:val="ListParagraph"/>
        <w:numPr>
          <w:ilvl w:val="0"/>
          <w:numId w:val="14"/>
        </w:numPr>
        <w:ind w:left="360"/>
        <w:rPr>
          <w:i/>
        </w:rPr>
      </w:pPr>
      <w:r>
        <w:t xml:space="preserve">The paragraph for </w:t>
      </w:r>
      <w:r w:rsidR="00D73E39">
        <w:t xml:space="preserve">the </w:t>
      </w:r>
      <w:r>
        <w:t xml:space="preserve">Junior Entry Option </w:t>
      </w:r>
      <w:r w:rsidR="00D73E39">
        <w:t xml:space="preserve">would be changed </w:t>
      </w:r>
      <w:r>
        <w:t>as follows</w:t>
      </w:r>
      <w:r w:rsidR="00D73E39">
        <w:t>:</w:t>
      </w:r>
    </w:p>
    <w:p w:rsidR="00954873" w:rsidRPr="00C85EE6" w:rsidRDefault="00D73E39" w:rsidP="00F949C2">
      <w:pPr>
        <w:ind w:left="360"/>
        <w:rPr>
          <w:i/>
        </w:rPr>
      </w:pPr>
      <w:r w:rsidRPr="00C85EE6">
        <w:rPr>
          <w:sz w:val="8"/>
          <w:szCs w:val="8"/>
        </w:rPr>
        <w:br/>
      </w:r>
      <w:r w:rsidR="008A408B" w:rsidRPr="008A408B">
        <w:t>From current wording:</w:t>
      </w:r>
      <w:r w:rsidR="008A408B" w:rsidRPr="00C85EE6">
        <w:rPr>
          <w:i/>
        </w:rPr>
        <w:t xml:space="preserve"> </w:t>
      </w:r>
      <w:r w:rsidR="00954873" w:rsidRPr="00C85EE6">
        <w:rPr>
          <w:i/>
        </w:rPr>
        <w:t xml:space="preserve">This option is for students who have earned an approved Associate in Arts and Sciences or the equivalent. Students who have completed another type of associate’s degree should consult with an advisor about the transfer option. Transfer students may apply 90 credits from an approved transfer degree toward completion of the requirements for completion of the Bachelor of Arts in Native Studies Leadership. The following describes the coursework for the remaining 90 credits required for </w:t>
      </w:r>
      <w:r w:rsidR="00954873" w:rsidRPr="00552027">
        <w:t>completion</w:t>
      </w:r>
      <w:r w:rsidR="00954873" w:rsidRPr="00C85EE6">
        <w:rPr>
          <w:i/>
        </w:rPr>
        <w:t xml:space="preserve"> of the program of study</w:t>
      </w:r>
      <w:r w:rsidR="00FE77D3">
        <w:rPr>
          <w:i/>
        </w:rPr>
        <w:t>.</w:t>
      </w:r>
      <w:r>
        <w:t xml:space="preserve"> (this example is for the BANSL and is similar for the other three bachelor’s programs)</w:t>
      </w:r>
    </w:p>
    <w:p w:rsidR="00954873" w:rsidRPr="00C85EE6" w:rsidRDefault="00954873" w:rsidP="00F949C2">
      <w:pPr>
        <w:ind w:left="720"/>
        <w:rPr>
          <w:sz w:val="8"/>
          <w:szCs w:val="8"/>
        </w:rPr>
      </w:pPr>
    </w:p>
    <w:p w:rsidR="00C85EE6" w:rsidRDefault="00D73E39" w:rsidP="00F949C2">
      <w:pPr>
        <w:ind w:left="360"/>
        <w:rPr>
          <w:rFonts w:ascii="Calibri" w:eastAsia="Times New Roman" w:hAnsi="Calibri" w:cs="Times New Roman"/>
          <w:i/>
          <w:color w:val="000000"/>
          <w:sz w:val="20"/>
          <w:szCs w:val="20"/>
        </w:rPr>
      </w:pPr>
      <w:r>
        <w:t xml:space="preserve">To </w:t>
      </w:r>
      <w:r w:rsidR="008A408B">
        <w:t>p</w:t>
      </w:r>
      <w:r w:rsidR="00954873">
        <w:t>roposed wording:</w:t>
      </w:r>
      <w:r w:rsidR="008A408B">
        <w:t xml:space="preserve">  </w:t>
      </w:r>
      <w:r w:rsidR="00CD1949" w:rsidRPr="008A408B">
        <w:rPr>
          <w:rFonts w:ascii="Calibri" w:eastAsia="Times New Roman" w:hAnsi="Calibri" w:cs="Times New Roman"/>
          <w:i/>
          <w:color w:val="000000"/>
          <w:sz w:val="20"/>
          <w:szCs w:val="20"/>
        </w:rPr>
        <w:t>This option is for students entering the program at the junior level after earning an Associate of Arts and Sciences degree from NWIC or another institution. Students who have not earned an Associate in Arts and Sciences degree s</w:t>
      </w:r>
      <w:r w:rsidR="001A05B3" w:rsidRPr="008A408B">
        <w:rPr>
          <w:rFonts w:ascii="Calibri" w:eastAsia="Times New Roman" w:hAnsi="Calibri" w:cs="Times New Roman"/>
          <w:i/>
          <w:color w:val="000000"/>
          <w:sz w:val="20"/>
          <w:szCs w:val="20"/>
        </w:rPr>
        <w:t>hould consult with an advisor since a</w:t>
      </w:r>
      <w:r w:rsidR="00CD1949" w:rsidRPr="008A408B">
        <w:rPr>
          <w:rFonts w:ascii="Calibri" w:eastAsia="Times New Roman" w:hAnsi="Calibri" w:cs="Times New Roman"/>
          <w:i/>
          <w:color w:val="000000"/>
          <w:sz w:val="20"/>
          <w:szCs w:val="20"/>
        </w:rPr>
        <w:t>dditional coursework may be necessary to complete program requirements. Students transferring from another college may apply up to 90 transfer credits toward completion of the program. Students must complete at least 180 credits, 60 of which are at the 300-499 level, in order to graduate.</w:t>
      </w:r>
      <w:r w:rsidR="000F0F96">
        <w:rPr>
          <w:rFonts w:ascii="Calibri" w:eastAsia="Times New Roman" w:hAnsi="Calibri" w:cs="Times New Roman"/>
          <w:i/>
          <w:color w:val="000000"/>
          <w:sz w:val="20"/>
          <w:szCs w:val="20"/>
        </w:rPr>
        <w:t xml:space="preserve"> (This same wording is proposed for all four bachelor’s programs)</w:t>
      </w:r>
    </w:p>
    <w:p w:rsidR="00C85EE6" w:rsidRPr="00F949C2" w:rsidRDefault="00C85EE6" w:rsidP="00C85EE6">
      <w:pPr>
        <w:ind w:left="360"/>
        <w:rPr>
          <w:rFonts w:ascii="Calibri" w:eastAsia="Times New Roman" w:hAnsi="Calibri" w:cs="Times New Roman"/>
          <w:i/>
          <w:color w:val="000000"/>
          <w:sz w:val="12"/>
          <w:szCs w:val="12"/>
        </w:rPr>
      </w:pPr>
    </w:p>
    <w:p w:rsidR="00C85EE6" w:rsidRPr="00C85EE6" w:rsidRDefault="001A05B3" w:rsidP="00C85EE6">
      <w:pPr>
        <w:pStyle w:val="ListParagraph"/>
        <w:numPr>
          <w:ilvl w:val="0"/>
          <w:numId w:val="14"/>
        </w:numPr>
        <w:ind w:left="360"/>
        <w:rPr>
          <w:rFonts w:ascii="Calibri" w:eastAsia="Times New Roman" w:hAnsi="Calibri" w:cs="Times New Roman"/>
          <w:i/>
          <w:color w:val="000000"/>
          <w:sz w:val="20"/>
          <w:szCs w:val="20"/>
        </w:rPr>
      </w:pPr>
      <w:r w:rsidRPr="00C85EE6">
        <w:t>A</w:t>
      </w:r>
      <w:r w:rsidR="00D73E39" w:rsidRPr="00C85EE6">
        <w:t xml:space="preserve"> </w:t>
      </w:r>
      <w:r w:rsidRPr="00C85EE6">
        <w:t>f</w:t>
      </w:r>
      <w:r w:rsidR="008B020F" w:rsidRPr="00C85EE6">
        <w:t>ootnote</w:t>
      </w:r>
      <w:r w:rsidR="00D73E39" w:rsidRPr="00C85EE6">
        <w:t xml:space="preserve"> </w:t>
      </w:r>
      <w:r w:rsidR="008A408B" w:rsidRPr="00C85EE6">
        <w:t xml:space="preserve">would be </w:t>
      </w:r>
      <w:r w:rsidR="00D73E39" w:rsidRPr="00C85EE6">
        <w:t xml:space="preserve">added after CSOV 300 </w:t>
      </w:r>
      <w:r w:rsidR="00455D43" w:rsidRPr="00C85EE6">
        <w:t xml:space="preserve">in the </w:t>
      </w:r>
      <w:r w:rsidR="00112295" w:rsidRPr="00C85EE6">
        <w:t>listing of courses</w:t>
      </w:r>
      <w:r w:rsidR="008A408B" w:rsidRPr="00C85EE6">
        <w:t>, as follows:</w:t>
      </w:r>
      <w:r w:rsidR="00D73E39" w:rsidRPr="00C85EE6">
        <w:t xml:space="preserve"> “</w:t>
      </w:r>
      <w:r w:rsidR="00BA0CF0" w:rsidRPr="00C85EE6">
        <w:rPr>
          <w:i/>
        </w:rPr>
        <w:t>Students who have completed CSOV 101 or the equivalent at NWIC or another institution need to enroll in 5 credits of upper</w:t>
      </w:r>
      <w:r w:rsidR="00FE2354" w:rsidRPr="00C85EE6">
        <w:rPr>
          <w:i/>
        </w:rPr>
        <w:t>-</w:t>
      </w:r>
      <w:r w:rsidR="00BA0CF0" w:rsidRPr="00C85EE6">
        <w:rPr>
          <w:i/>
        </w:rPr>
        <w:t xml:space="preserve"> division coursework in place of CSOV 300.</w:t>
      </w:r>
      <w:r w:rsidR="00D73E39">
        <w:t>”</w:t>
      </w:r>
    </w:p>
    <w:p w:rsidR="00C85EE6" w:rsidRPr="00F949C2" w:rsidRDefault="00C85EE6" w:rsidP="00C85EE6">
      <w:pPr>
        <w:pStyle w:val="ListParagraph"/>
        <w:ind w:left="360"/>
        <w:rPr>
          <w:rFonts w:ascii="Calibri" w:eastAsia="Times New Roman" w:hAnsi="Calibri" w:cs="Times New Roman"/>
          <w:i/>
          <w:color w:val="000000"/>
          <w:sz w:val="12"/>
          <w:szCs w:val="12"/>
        </w:rPr>
      </w:pPr>
    </w:p>
    <w:p w:rsidR="00C85EE6" w:rsidRPr="00F949C2" w:rsidRDefault="00C85EE6" w:rsidP="00C85EE6">
      <w:pPr>
        <w:pStyle w:val="ListParagraph"/>
        <w:numPr>
          <w:ilvl w:val="0"/>
          <w:numId w:val="14"/>
        </w:numPr>
        <w:ind w:left="360"/>
        <w:rPr>
          <w:rFonts w:ascii="Calibri" w:eastAsia="Times New Roman" w:hAnsi="Calibri" w:cs="Times New Roman"/>
          <w:color w:val="000000"/>
          <w:sz w:val="20"/>
          <w:szCs w:val="20"/>
        </w:rPr>
      </w:pPr>
      <w:r w:rsidRPr="00F949C2">
        <w:t xml:space="preserve">Addition of the following sentence to the </w:t>
      </w:r>
      <w:r w:rsidR="00F949C2">
        <w:t xml:space="preserve">elective section under the </w:t>
      </w:r>
      <w:r w:rsidRPr="00F949C2">
        <w:t xml:space="preserve">junior entry option “Students are required to complete at least 180 credits, 60 of which are at the 300-499 level in order to graduate.” </w:t>
      </w:r>
    </w:p>
    <w:p w:rsidR="00C85EE6" w:rsidRPr="00F949C2" w:rsidRDefault="00C85EE6" w:rsidP="00C85EE6">
      <w:pPr>
        <w:pStyle w:val="ListParagraph"/>
        <w:rPr>
          <w:sz w:val="12"/>
          <w:szCs w:val="12"/>
        </w:rPr>
      </w:pPr>
    </w:p>
    <w:p w:rsidR="00552027" w:rsidRPr="00C85EE6" w:rsidRDefault="00C85EE6" w:rsidP="00C85EE6">
      <w:pPr>
        <w:pStyle w:val="ListParagraph"/>
        <w:numPr>
          <w:ilvl w:val="0"/>
          <w:numId w:val="14"/>
        </w:numPr>
        <w:ind w:left="360"/>
        <w:rPr>
          <w:rFonts w:ascii="Calibri" w:eastAsia="Times New Roman" w:hAnsi="Calibri" w:cs="Times New Roman"/>
          <w:i/>
          <w:color w:val="000000"/>
          <w:sz w:val="20"/>
          <w:szCs w:val="20"/>
        </w:rPr>
      </w:pPr>
      <w:r w:rsidRPr="00F949C2">
        <w:t>Change section previously called “Transfer Credits” to “Prior Credit” with</w:t>
      </w:r>
      <w:r>
        <w:rPr>
          <w:i/>
        </w:rPr>
        <w:t xml:space="preserve"> revised wording.</w:t>
      </w:r>
      <w:r w:rsidR="00552027" w:rsidRPr="00C85EE6">
        <w:rPr>
          <w:b/>
          <w:sz w:val="28"/>
          <w:szCs w:val="28"/>
        </w:rPr>
        <w:br w:type="page"/>
      </w:r>
    </w:p>
    <w:p w:rsidR="00BA5DB1" w:rsidRDefault="00C31CEB" w:rsidP="00D95277">
      <w:pPr>
        <w:jc w:val="center"/>
        <w:rPr>
          <w:b/>
          <w:sz w:val="28"/>
          <w:szCs w:val="28"/>
        </w:rPr>
      </w:pPr>
      <w:r>
        <w:rPr>
          <w:b/>
          <w:sz w:val="28"/>
          <w:szCs w:val="28"/>
        </w:rPr>
        <w:lastRenderedPageBreak/>
        <w:t xml:space="preserve">Advising Guidelines for </w:t>
      </w:r>
      <w:r w:rsidR="00734BD1">
        <w:rPr>
          <w:b/>
          <w:sz w:val="28"/>
          <w:szCs w:val="28"/>
        </w:rPr>
        <w:t>Students</w:t>
      </w:r>
      <w:r>
        <w:rPr>
          <w:b/>
          <w:sz w:val="28"/>
          <w:szCs w:val="28"/>
        </w:rPr>
        <w:t xml:space="preserve"> Entering an NWIC Bachelor’s </w:t>
      </w:r>
      <w:r w:rsidR="00734BD1">
        <w:rPr>
          <w:b/>
          <w:sz w:val="28"/>
          <w:szCs w:val="28"/>
        </w:rPr>
        <w:t>Program</w:t>
      </w:r>
      <w:r>
        <w:rPr>
          <w:b/>
          <w:sz w:val="28"/>
          <w:szCs w:val="28"/>
        </w:rPr>
        <w:br/>
      </w:r>
      <w:r w:rsidR="00F3594A">
        <w:rPr>
          <w:b/>
          <w:sz w:val="28"/>
          <w:szCs w:val="28"/>
        </w:rPr>
        <w:t>at the Junior Level</w:t>
      </w:r>
    </w:p>
    <w:p w:rsidR="00F022DF" w:rsidRPr="00582960" w:rsidRDefault="00F022DF">
      <w:pPr>
        <w:rPr>
          <w:b/>
          <w:sz w:val="12"/>
          <w:szCs w:val="12"/>
          <w:u w:val="single"/>
        </w:rPr>
      </w:pPr>
    </w:p>
    <w:p w:rsidR="00BE1902" w:rsidRDefault="00FA4458" w:rsidP="00425D5C">
      <w:r>
        <w:t xml:space="preserve">These </w:t>
      </w:r>
      <w:r w:rsidR="008966A7">
        <w:t xml:space="preserve">guidelines </w:t>
      </w:r>
      <w:r>
        <w:t xml:space="preserve">are to be used when </w:t>
      </w:r>
      <w:r w:rsidR="008966A7">
        <w:t xml:space="preserve">advising students </w:t>
      </w:r>
      <w:r w:rsidR="00413B13">
        <w:t xml:space="preserve">who are </w:t>
      </w:r>
      <w:r>
        <w:t xml:space="preserve">entering </w:t>
      </w:r>
      <w:r w:rsidR="00FF2E2E">
        <w:t xml:space="preserve">a </w:t>
      </w:r>
      <w:r>
        <w:t>bachelor’s programs at the junior level</w:t>
      </w:r>
      <w:r w:rsidR="008A3F3A">
        <w:t xml:space="preserve"> whether they </w:t>
      </w:r>
      <w:r w:rsidR="00413B13">
        <w:t>transferred</w:t>
      </w:r>
      <w:r w:rsidR="008A3F3A">
        <w:t xml:space="preserve"> from </w:t>
      </w:r>
      <w:r w:rsidR="00413B13">
        <w:t>another college or completed an</w:t>
      </w:r>
      <w:r w:rsidR="008A3F3A">
        <w:t xml:space="preserve"> associate’s degree at NWIC</w:t>
      </w:r>
      <w:r w:rsidR="00FF2E2E">
        <w:t>.</w:t>
      </w:r>
      <w:r>
        <w:t xml:space="preserve"> The guidelines describe how to determine </w:t>
      </w:r>
      <w:r w:rsidR="00FF2E2E">
        <w:t xml:space="preserve">which students </w:t>
      </w:r>
      <w:r w:rsidR="00905AE6">
        <w:t xml:space="preserve">to </w:t>
      </w:r>
      <w:r w:rsidR="00FF2E2E">
        <w:t xml:space="preserve">advise to </w:t>
      </w:r>
      <w:r w:rsidR="00905AE6">
        <w:t>enroll in CSOV 300</w:t>
      </w:r>
      <w:r w:rsidR="00E0755A">
        <w:t xml:space="preserve">, </w:t>
      </w:r>
      <w:r w:rsidR="00FF2E2E">
        <w:t xml:space="preserve">which </w:t>
      </w:r>
      <w:r w:rsidR="00E0755A">
        <w:t>student</w:t>
      </w:r>
      <w:r w:rsidR="00FF2E2E">
        <w:t>s</w:t>
      </w:r>
      <w:r w:rsidR="00E0755A">
        <w:t xml:space="preserve"> </w:t>
      </w:r>
      <w:r w:rsidR="00FF2E2E">
        <w:t xml:space="preserve">to advise to </w:t>
      </w:r>
      <w:r w:rsidR="00413B13">
        <w:t>enroll in an upper-</w:t>
      </w:r>
      <w:r w:rsidR="00E0755A">
        <w:t xml:space="preserve">division </w:t>
      </w:r>
      <w:r w:rsidR="00FF2E2E">
        <w:t>course rather than CSOV 300</w:t>
      </w:r>
      <w:r w:rsidR="00E0755A">
        <w:t xml:space="preserve">, </w:t>
      </w:r>
      <w:r w:rsidR="00FF2E2E">
        <w:t xml:space="preserve">and which students to </w:t>
      </w:r>
      <w:r w:rsidR="00413B13">
        <w:t>refer to</w:t>
      </w:r>
      <w:r w:rsidR="00E0755A">
        <w:t xml:space="preserve"> </w:t>
      </w:r>
      <w:r w:rsidR="002F02DB">
        <w:t>the</w:t>
      </w:r>
      <w:r w:rsidR="00413B13">
        <w:t xml:space="preserve"> </w:t>
      </w:r>
      <w:r w:rsidR="002F02DB">
        <w:t xml:space="preserve">Chair of the </w:t>
      </w:r>
      <w:r w:rsidR="00E0755A">
        <w:t>Native Studies Leadership</w:t>
      </w:r>
      <w:r w:rsidR="00413B13">
        <w:t xml:space="preserve"> d</w:t>
      </w:r>
      <w:r w:rsidR="002F02DB">
        <w:t xml:space="preserve">epartment </w:t>
      </w:r>
      <w:r w:rsidR="00E0755A">
        <w:t>for further advising</w:t>
      </w:r>
      <w:r w:rsidR="00905AE6">
        <w:t>.</w:t>
      </w:r>
      <w:r w:rsidR="004248BF">
        <w:t xml:space="preserve"> Consult the course equivalency list to determine which cou</w:t>
      </w:r>
      <w:r w:rsidR="002F02DB">
        <w:t>rses are equivalent to CSOV 101, which may be courses at another college or other courses taught at NWIC.</w:t>
      </w:r>
    </w:p>
    <w:p w:rsidR="00D95277" w:rsidRDefault="00D95277" w:rsidP="00425D5C"/>
    <w:p w:rsidR="0051696A" w:rsidRPr="00582960" w:rsidRDefault="0051696A" w:rsidP="007A0DEF">
      <w:pPr>
        <w:rPr>
          <w:sz w:val="12"/>
          <w:szCs w:val="12"/>
        </w:rPr>
      </w:pPr>
    </w:p>
    <w:p w:rsidR="00413B13" w:rsidRPr="002A4AB8" w:rsidRDefault="00413B13" w:rsidP="00413B13">
      <w:pPr>
        <w:rPr>
          <w:b/>
        </w:rPr>
      </w:pPr>
      <w:r w:rsidRPr="002A4AB8">
        <w:rPr>
          <w:b/>
        </w:rPr>
        <w:t>Students who …</w:t>
      </w:r>
      <w:r w:rsidR="002A4AB8">
        <w:rPr>
          <w:b/>
        </w:rPr>
        <w:tab/>
      </w:r>
      <w:r w:rsidR="002A4AB8">
        <w:rPr>
          <w:b/>
        </w:rPr>
        <w:tab/>
      </w:r>
      <w:r w:rsidR="002A4AB8">
        <w:rPr>
          <w:b/>
        </w:rPr>
        <w:tab/>
      </w:r>
      <w:r w:rsidR="002A4AB8">
        <w:rPr>
          <w:b/>
        </w:rPr>
        <w:tab/>
      </w:r>
      <w:r w:rsidR="002A4AB8">
        <w:rPr>
          <w:b/>
        </w:rPr>
        <w:tab/>
      </w:r>
      <w:r w:rsidR="002A4AB8">
        <w:rPr>
          <w:b/>
        </w:rPr>
        <w:tab/>
      </w:r>
      <w:r w:rsidR="002A4AB8">
        <w:rPr>
          <w:b/>
        </w:rPr>
        <w:tab/>
      </w:r>
      <w:r w:rsidR="004248BF">
        <w:rPr>
          <w:b/>
        </w:rPr>
        <w:t xml:space="preserve">Advise student to </w:t>
      </w:r>
      <w:r w:rsidR="002A4AB8">
        <w:rPr>
          <w:b/>
        </w:rPr>
        <w:t xml:space="preserve"> </w:t>
      </w:r>
      <w:r w:rsidRPr="002A4AB8">
        <w:rPr>
          <w:b/>
        </w:rPr>
        <w:t>…</w:t>
      </w:r>
    </w:p>
    <w:p w:rsidR="00BD4976" w:rsidRPr="005B6E89" w:rsidRDefault="00413B13" w:rsidP="00413B13">
      <w:pPr>
        <w:pStyle w:val="ListParagraph"/>
        <w:ind w:left="360"/>
      </w:pPr>
      <w:r w:rsidRPr="00352540">
        <w:tab/>
      </w:r>
      <w:r>
        <w:tab/>
      </w:r>
      <w:r>
        <w:tab/>
        <w:t xml:space="preserve">         </w:t>
      </w:r>
    </w:p>
    <w:p w:rsidR="005B6E89" w:rsidRDefault="00D95277" w:rsidP="005B6E89">
      <w:r>
        <w:rPr>
          <w:noProof/>
        </w:rPr>
        <w:drawing>
          <wp:inline distT="0" distB="0" distL="0" distR="0" wp14:anchorId="7355599C" wp14:editId="5C478D7A">
            <wp:extent cx="6552265" cy="1138793"/>
            <wp:effectExtent l="38100" t="57150" r="39370" b="42545"/>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B6E89" w:rsidRDefault="005B6E89" w:rsidP="00D95277">
      <w:pPr>
        <w:tabs>
          <w:tab w:val="left" w:pos="2661"/>
          <w:tab w:val="left" w:pos="3593"/>
          <w:tab w:val="left" w:pos="5097"/>
          <w:tab w:val="left" w:pos="7449"/>
        </w:tabs>
      </w:pPr>
      <w:r>
        <w:tab/>
      </w:r>
      <w:r w:rsidR="00D95277">
        <w:tab/>
      </w:r>
    </w:p>
    <w:p w:rsidR="002B3888" w:rsidRDefault="002B3888" w:rsidP="00BD4976"/>
    <w:p w:rsidR="00BE1902" w:rsidRDefault="00BE1902" w:rsidP="00BE1902">
      <w:pPr>
        <w:pStyle w:val="ListParagraph"/>
      </w:pPr>
    </w:p>
    <w:p w:rsidR="002B3888" w:rsidRDefault="00D95277" w:rsidP="00D95277">
      <w:pPr>
        <w:pStyle w:val="ListParagraph"/>
        <w:ind w:left="0"/>
      </w:pPr>
      <w:r>
        <w:rPr>
          <w:noProof/>
        </w:rPr>
        <w:drawing>
          <wp:inline distT="0" distB="0" distL="0" distR="0" wp14:anchorId="695F4CEF" wp14:editId="68FEAF5D">
            <wp:extent cx="6608618" cy="1157844"/>
            <wp:effectExtent l="38100" t="57150" r="20955" b="42545"/>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rsidR="002B3888" w:rsidRDefault="002B3888" w:rsidP="00BE1902">
      <w:pPr>
        <w:pStyle w:val="ListParagraph"/>
      </w:pPr>
    </w:p>
    <w:p w:rsidR="00F97838" w:rsidRDefault="00F97838" w:rsidP="00F97838"/>
    <w:p w:rsidR="002B3888" w:rsidRDefault="002B3888" w:rsidP="002B3888"/>
    <w:p w:rsidR="002B3888" w:rsidRDefault="002B3888" w:rsidP="002B3888"/>
    <w:p w:rsidR="002B3888" w:rsidRDefault="00D95277" w:rsidP="002B3888">
      <w:r>
        <w:rPr>
          <w:noProof/>
        </w:rPr>
        <w:drawing>
          <wp:inline distT="0" distB="0" distL="0" distR="0" wp14:anchorId="3BF04FF0" wp14:editId="05FE6A86">
            <wp:extent cx="6608618" cy="1128156"/>
            <wp:effectExtent l="38100" t="57150" r="40005" b="53340"/>
            <wp:docPr id="17" name="Diagram 1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rsidR="00352540" w:rsidRDefault="00352540" w:rsidP="002B3888">
      <w:pPr>
        <w:rPr>
          <w:b/>
        </w:rPr>
      </w:pPr>
    </w:p>
    <w:p w:rsidR="002B3888" w:rsidRPr="00C85EE6" w:rsidRDefault="002A4AB8" w:rsidP="002B3888">
      <w:r w:rsidRPr="00C85EE6">
        <w:t>In all other cases</w:t>
      </w:r>
      <w:r w:rsidR="002F02DB">
        <w:t>,</w:t>
      </w:r>
      <w:r w:rsidRPr="00C85EE6">
        <w:t xml:space="preserve"> the </w:t>
      </w:r>
      <w:r w:rsidR="00352540" w:rsidRPr="00C85EE6">
        <w:t xml:space="preserve">student </w:t>
      </w:r>
      <w:r w:rsidR="00552027" w:rsidRPr="00C85EE6">
        <w:t>is to</w:t>
      </w:r>
      <w:r w:rsidR="00352540" w:rsidRPr="00C85EE6">
        <w:t xml:space="preserve"> be referred to </w:t>
      </w:r>
      <w:r w:rsidR="00EC7B68">
        <w:t>the</w:t>
      </w:r>
      <w:r w:rsidR="00352540" w:rsidRPr="00C85EE6">
        <w:t xml:space="preserve"> </w:t>
      </w:r>
      <w:r w:rsidR="002F02DB">
        <w:t xml:space="preserve">Chair of the </w:t>
      </w:r>
      <w:r w:rsidRPr="00C85EE6">
        <w:t xml:space="preserve">Native Studies Leadership </w:t>
      </w:r>
      <w:r w:rsidR="00EC7B68">
        <w:t>d</w:t>
      </w:r>
      <w:r w:rsidR="00352540" w:rsidRPr="00C85EE6">
        <w:t>epartment</w:t>
      </w:r>
      <w:r w:rsidR="00EC7B68">
        <w:t xml:space="preserve"> </w:t>
      </w:r>
      <w:r w:rsidR="002F02DB">
        <w:t>(</w:t>
      </w:r>
      <w:r w:rsidR="00EC7B68">
        <w:t xml:space="preserve">or </w:t>
      </w:r>
      <w:r w:rsidR="002F02DB">
        <w:t xml:space="preserve">a </w:t>
      </w:r>
      <w:r w:rsidR="00EC7B68">
        <w:t xml:space="preserve">delegate </w:t>
      </w:r>
      <w:r w:rsidR="002F02DB">
        <w:t>who has been identified</w:t>
      </w:r>
      <w:r w:rsidR="00EC7B68">
        <w:t xml:space="preserve"> by the chair</w:t>
      </w:r>
      <w:r w:rsidR="002F02DB">
        <w:t>)</w:t>
      </w:r>
      <w:r w:rsidR="00352540" w:rsidRPr="00C85EE6">
        <w:t xml:space="preserve"> for further advising</w:t>
      </w:r>
      <w:r w:rsidRPr="00C85EE6">
        <w:t>.</w:t>
      </w:r>
    </w:p>
    <w:p w:rsidR="00352540" w:rsidRPr="00C85EE6" w:rsidRDefault="00352540" w:rsidP="002B3888"/>
    <w:p w:rsidR="004248BF" w:rsidRPr="00C85EE6" w:rsidRDefault="00552027" w:rsidP="002B3888">
      <w:r w:rsidRPr="00C85EE6">
        <w:t xml:space="preserve">The </w:t>
      </w:r>
      <w:r w:rsidR="002F02DB">
        <w:t>C</w:t>
      </w:r>
      <w:r w:rsidRPr="00C85EE6">
        <w:t xml:space="preserve">hair </w:t>
      </w:r>
      <w:r w:rsidR="002F02DB">
        <w:t>of the Native Studies Leadership department (</w:t>
      </w:r>
      <w:r w:rsidR="00EC7B68">
        <w:t>or delegate</w:t>
      </w:r>
      <w:r w:rsidR="002F02DB">
        <w:t>)</w:t>
      </w:r>
      <w:r w:rsidRPr="00C85EE6">
        <w:t xml:space="preserve"> makes an advising determination </w:t>
      </w:r>
      <w:r w:rsidR="00EC7B68">
        <w:t xml:space="preserve">and </w:t>
      </w:r>
      <w:r w:rsidR="002F02DB">
        <w:t xml:space="preserve">then is to </w:t>
      </w:r>
      <w:r w:rsidRPr="00C85EE6">
        <w:t xml:space="preserve">email the student and the registrar describing the advising decision </w:t>
      </w:r>
      <w:r w:rsidR="002F02DB">
        <w:t xml:space="preserve">(i.e., enroll in CSOV 300 or an upper-division elective) </w:t>
      </w:r>
      <w:r w:rsidRPr="00C85EE6">
        <w:t>in order to document the dec</w:t>
      </w:r>
      <w:bookmarkStart w:id="0" w:name="_GoBack"/>
      <w:r w:rsidRPr="00C85EE6">
        <w:t>i</w:t>
      </w:r>
      <w:bookmarkEnd w:id="0"/>
      <w:r w:rsidRPr="00C85EE6">
        <w:t>sion</w:t>
      </w:r>
      <w:r w:rsidR="00445092" w:rsidRPr="00C85EE6">
        <w:t xml:space="preserve"> </w:t>
      </w:r>
      <w:r w:rsidRPr="00C85EE6">
        <w:t xml:space="preserve">as it relates to meeting </w:t>
      </w:r>
      <w:r w:rsidR="00445092" w:rsidRPr="00C85EE6">
        <w:t>graduation requirements.</w:t>
      </w:r>
    </w:p>
    <w:p w:rsidR="002B3888" w:rsidRDefault="002B3888" w:rsidP="002B3888"/>
    <w:p w:rsidR="002B3888" w:rsidRDefault="002B3888" w:rsidP="00F97838">
      <w:pPr>
        <w:pBdr>
          <w:top w:val="single" w:sz="12" w:space="1" w:color="auto"/>
          <w:left w:val="single" w:sz="12" w:space="4" w:color="auto"/>
          <w:bottom w:val="single" w:sz="12" w:space="1" w:color="auto"/>
          <w:right w:val="single" w:sz="12" w:space="4" w:color="auto"/>
        </w:pBdr>
        <w:tabs>
          <w:tab w:val="left" w:pos="7920"/>
        </w:tabs>
        <w:rPr>
          <w:bCs/>
          <w:iCs/>
          <w:sz w:val="24"/>
          <w:szCs w:val="24"/>
        </w:rPr>
      </w:pPr>
      <w:r w:rsidRPr="00813470">
        <w:rPr>
          <w:rFonts w:ascii="Calibri" w:hAnsi="Calibri"/>
          <w:bCs/>
          <w:sz w:val="24"/>
          <w:szCs w:val="24"/>
        </w:rPr>
        <w:t xml:space="preserve">APPROVAL SIGNATURE - </w:t>
      </w:r>
      <w:r w:rsidRPr="00813470">
        <w:rPr>
          <w:bCs/>
          <w:iCs/>
          <w:sz w:val="24"/>
          <w:szCs w:val="24"/>
        </w:rPr>
        <w:t xml:space="preserve">These advising guidelines are approved to implement effective immediately. </w:t>
      </w:r>
    </w:p>
    <w:p w:rsidR="00B10D8E" w:rsidRPr="00813470" w:rsidRDefault="00B10D8E" w:rsidP="00F97838">
      <w:pPr>
        <w:pBdr>
          <w:top w:val="single" w:sz="12" w:space="1" w:color="auto"/>
          <w:left w:val="single" w:sz="12" w:space="4" w:color="auto"/>
          <w:bottom w:val="single" w:sz="12" w:space="1" w:color="auto"/>
          <w:right w:val="single" w:sz="12" w:space="4" w:color="auto"/>
        </w:pBdr>
        <w:tabs>
          <w:tab w:val="left" w:pos="7920"/>
        </w:tabs>
        <w:rPr>
          <w:bCs/>
          <w:iCs/>
          <w:sz w:val="24"/>
          <w:szCs w:val="24"/>
        </w:rPr>
      </w:pPr>
    </w:p>
    <w:p w:rsidR="002B3888" w:rsidRPr="00813470" w:rsidRDefault="002B3888" w:rsidP="00F97838">
      <w:pPr>
        <w:pBdr>
          <w:top w:val="single" w:sz="12" w:space="1" w:color="auto"/>
          <w:left w:val="single" w:sz="12" w:space="4" w:color="auto"/>
          <w:bottom w:val="single" w:sz="12" w:space="1" w:color="auto"/>
          <w:right w:val="single" w:sz="12" w:space="4" w:color="auto"/>
        </w:pBdr>
        <w:tabs>
          <w:tab w:val="left" w:pos="7920"/>
        </w:tabs>
        <w:rPr>
          <w:bCs/>
          <w:sz w:val="24"/>
          <w:szCs w:val="24"/>
        </w:rPr>
      </w:pPr>
      <w:r w:rsidRPr="00813470">
        <w:rPr>
          <w:bCs/>
          <w:sz w:val="24"/>
          <w:szCs w:val="24"/>
        </w:rPr>
        <w:t>______________________________________________________</w:t>
      </w:r>
      <w:r w:rsidRPr="00813470">
        <w:rPr>
          <w:i/>
          <w:iCs/>
          <w:sz w:val="24"/>
          <w:szCs w:val="24"/>
        </w:rPr>
        <w:tab/>
        <w:t>___________________</w:t>
      </w:r>
    </w:p>
    <w:p w:rsidR="001B560B" w:rsidRPr="007629C6" w:rsidRDefault="002B3888" w:rsidP="007629C6">
      <w:pPr>
        <w:pStyle w:val="Header"/>
        <w:pBdr>
          <w:top w:val="single" w:sz="12" w:space="1" w:color="auto"/>
          <w:left w:val="single" w:sz="12" w:space="4" w:color="auto"/>
          <w:bottom w:val="single" w:sz="12" w:space="1" w:color="auto"/>
          <w:right w:val="single" w:sz="12" w:space="4" w:color="auto"/>
        </w:pBdr>
        <w:tabs>
          <w:tab w:val="left" w:pos="7920"/>
        </w:tabs>
        <w:rPr>
          <w:bCs/>
          <w:i/>
          <w:iCs/>
          <w:sz w:val="16"/>
          <w:szCs w:val="16"/>
        </w:rPr>
      </w:pPr>
      <w:r w:rsidRPr="00C438BA">
        <w:rPr>
          <w:bCs/>
          <w:i/>
          <w:iCs/>
          <w:sz w:val="16"/>
          <w:szCs w:val="16"/>
        </w:rPr>
        <w:t>Vice President for Instruction and Student Services</w:t>
      </w:r>
      <w:r w:rsidRPr="00C438BA">
        <w:rPr>
          <w:bCs/>
          <w:i/>
          <w:iCs/>
          <w:sz w:val="16"/>
          <w:szCs w:val="16"/>
        </w:rPr>
        <w:tab/>
      </w:r>
      <w:r w:rsidRPr="00C438BA">
        <w:rPr>
          <w:bCs/>
          <w:i/>
          <w:iCs/>
          <w:sz w:val="16"/>
          <w:szCs w:val="16"/>
        </w:rPr>
        <w:tab/>
        <w:t>Date</w:t>
      </w:r>
      <w:r w:rsidR="00185884">
        <w:rPr>
          <w:noProof/>
        </w:rPr>
        <mc:AlternateContent>
          <mc:Choice Requires="wpi">
            <w:drawing>
              <wp:anchor distT="0" distB="0" distL="114300" distR="114300" simplePos="0" relativeHeight="251706368" behindDoc="0" locked="0" layoutInCell="1" allowOverlap="1" wp14:anchorId="321F7D8C" wp14:editId="695D5ECC">
                <wp:simplePos x="0" y="0"/>
                <wp:positionH relativeFrom="column">
                  <wp:posOffset>-568545</wp:posOffset>
                </wp:positionH>
                <wp:positionV relativeFrom="paragraph">
                  <wp:posOffset>5084</wp:posOffset>
                </wp:positionV>
                <wp:extent cx="360" cy="360"/>
                <wp:effectExtent l="0" t="0" r="0" b="0"/>
                <wp:wrapNone/>
                <wp:docPr id="44" name="Ink 44"/>
                <wp:cNvGraphicFramePr/>
                <a:graphic xmlns:a="http://schemas.openxmlformats.org/drawingml/2006/main">
                  <a:graphicData uri="http://schemas.microsoft.com/office/word/2010/wordprocessingInk">
                    <w14:contentPart bwMode="auto" r:id="rId24">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4" o:spid="_x0000_s1026" type="#_x0000_t75" style="position:absolute;margin-left:-46.15pt;margin-top:-1pt;width:2.9pt;height:2.9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">
                <v:imagedata r:id="rId25" o:title=""/>
              </v:shape>
            </w:pict>
          </mc:Fallback>
        </mc:AlternateContent>
      </w:r>
      <w:r w:rsidR="00185884">
        <w:rPr>
          <w:noProof/>
        </w:rPr>
        <mc:AlternateContent>
          <mc:Choice Requires="wpi">
            <w:drawing>
              <wp:anchor distT="0" distB="0" distL="114300" distR="114300" simplePos="0" relativeHeight="251705344" behindDoc="0" locked="0" layoutInCell="1" allowOverlap="1" wp14:anchorId="592DEAB9" wp14:editId="5192A8FA">
                <wp:simplePos x="0" y="0"/>
                <wp:positionH relativeFrom="column">
                  <wp:posOffset>-563505</wp:posOffset>
                </wp:positionH>
                <wp:positionV relativeFrom="paragraph">
                  <wp:posOffset>5084</wp:posOffset>
                </wp:positionV>
                <wp:extent cx="360" cy="360"/>
                <wp:effectExtent l="0" t="0" r="0" b="0"/>
                <wp:wrapNone/>
                <wp:docPr id="43" name="Ink 43"/>
                <wp:cNvGraphicFramePr/>
                <a:graphic xmlns:a="http://schemas.openxmlformats.org/drawingml/2006/main">
                  <a:graphicData uri="http://schemas.microsoft.com/office/word/2010/wordprocessingInk">
                    <w14:contentPart bwMode="auto" r:id="rId26">
                      <w14:nvContentPartPr>
                        <w14:cNvContentPartPr/>
                      </w14:nvContentPartPr>
                      <w14:xfrm>
                        <a:off x="0" y="0"/>
                        <a:ext cx="360" cy="360"/>
                      </w14:xfrm>
                    </w14:contentPart>
                  </a:graphicData>
                </a:graphic>
              </wp:anchor>
            </w:drawing>
          </mc:Choice>
          <mc:Fallback>
            <w:pict>
              <v:shape id="Ink 43" o:spid="_x0000_s1026" type="#_x0000_t75" style="position:absolute;margin-left:-45.75pt;margin-top:-1pt;width:2.9pt;height:2.9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">
                <v:imagedata r:id="rId25" o:title=""/>
              </v:shape>
            </w:pict>
          </mc:Fallback>
        </mc:AlternateContent>
      </w:r>
      <w:r w:rsidR="00185884">
        <w:rPr>
          <w:noProof/>
        </w:rPr>
        <mc:AlternateContent>
          <mc:Choice Requires="wpi">
            <w:drawing>
              <wp:anchor distT="0" distB="0" distL="114300" distR="114300" simplePos="0" relativeHeight="251704320" behindDoc="0" locked="0" layoutInCell="1" allowOverlap="1" wp14:anchorId="02695CA2" wp14:editId="1F137637">
                <wp:simplePos x="0" y="0"/>
                <wp:positionH relativeFrom="column">
                  <wp:posOffset>-563505</wp:posOffset>
                </wp:positionH>
                <wp:positionV relativeFrom="paragraph">
                  <wp:posOffset>5084</wp:posOffset>
                </wp:positionV>
                <wp:extent cx="360" cy="360"/>
                <wp:effectExtent l="0" t="0" r="0" b="0"/>
                <wp:wrapNone/>
                <wp:docPr id="42" name="Ink 42"/>
                <wp:cNvGraphicFramePr/>
                <a:graphic xmlns:a="http://schemas.openxmlformats.org/drawingml/2006/main">
                  <a:graphicData uri="http://schemas.microsoft.com/office/word/2010/wordprocessingInk">
                    <w14:contentPart bwMode="auto" r:id="rId27">
                      <w14:nvContentPartPr>
                        <w14:cNvContentPartPr/>
                      </w14:nvContentPartPr>
                      <w14:xfrm>
                        <a:off x="0" y="0"/>
                        <a:ext cx="360" cy="360"/>
                      </w14:xfrm>
                    </w14:contentPart>
                  </a:graphicData>
                </a:graphic>
              </wp:anchor>
            </w:drawing>
          </mc:Choice>
          <mc:Fallback>
            <w:pict>
              <v:shape id="Ink 42" o:spid="_x0000_s1026" type="#_x0000_t75" style="position:absolute;margin-left:-45.75pt;margin-top:-1pt;width:2.9pt;height:2.9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">
                <v:imagedata r:id="rId25" o:title=""/>
              </v:shape>
            </w:pict>
          </mc:Fallback>
        </mc:AlternateContent>
      </w:r>
    </w:p>
    <w:sectPr w:rsidR="001B560B" w:rsidRPr="007629C6" w:rsidSect="00A211AF">
      <w:footerReference w:type="default" r:id="rId28"/>
      <w:pgSz w:w="12240" w:h="15840" w:code="1"/>
      <w:pgMar w:top="432" w:right="1008" w:bottom="432" w:left="1008" w:header="432" w:footer="432" w:gutter="0"/>
      <w:cols w:space="720"/>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0768E73" w15:done="0"/>
  <w15:commentEx w15:paraId="4B10060B" w15:done="0"/>
  <w15:commentEx w15:paraId="7102662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95D" w:rsidRDefault="000B395D" w:rsidP="007F6AD3">
      <w:r>
        <w:separator/>
      </w:r>
    </w:p>
  </w:endnote>
  <w:endnote w:type="continuationSeparator" w:id="0">
    <w:p w:rsidR="000B395D" w:rsidRDefault="000B395D" w:rsidP="007F6A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20F" w:rsidRDefault="008B020F" w:rsidP="0005376C">
    <w:pPr>
      <w:pStyle w:val="Footer"/>
      <w:jc w:val="right"/>
      <w:rPr>
        <w:sz w:val="16"/>
        <w:szCs w:val="16"/>
      </w:rPr>
    </w:pPr>
  </w:p>
  <w:p w:rsidR="008B020F" w:rsidRPr="00DF0007" w:rsidRDefault="008B020F" w:rsidP="0005376C">
    <w:pPr>
      <w:pStyle w:val="Footer"/>
      <w:jc w:val="right"/>
      <w:rPr>
        <w:i/>
        <w:sz w:val="16"/>
        <w:szCs w:val="16"/>
      </w:rPr>
    </w:pPr>
    <w:r w:rsidRPr="00DF0007">
      <w:rPr>
        <w:sz w:val="16"/>
        <w:szCs w:val="16"/>
      </w:rPr>
      <w:fldChar w:fldCharType="begin"/>
    </w:r>
    <w:r w:rsidRPr="00DF0007">
      <w:rPr>
        <w:sz w:val="16"/>
        <w:szCs w:val="16"/>
      </w:rPr>
      <w:instrText xml:space="preserve"> FILENAME   \* MERGEFORMAT </w:instrText>
    </w:r>
    <w:r w:rsidRPr="00DF0007">
      <w:rPr>
        <w:sz w:val="16"/>
        <w:szCs w:val="16"/>
      </w:rPr>
      <w:fldChar w:fldCharType="separate"/>
    </w:r>
    <w:r w:rsidR="00900E95" w:rsidRPr="00900E95">
      <w:rPr>
        <w:i/>
        <w:noProof/>
        <w:sz w:val="16"/>
        <w:szCs w:val="16"/>
      </w:rPr>
      <w:t>CSOV 300 - proposed program</w:t>
    </w:r>
    <w:r w:rsidR="00900E95">
      <w:rPr>
        <w:noProof/>
        <w:sz w:val="16"/>
        <w:szCs w:val="16"/>
      </w:rPr>
      <w:t xml:space="preserve"> and advising changes -DRAFT 8-10-16.docx</w:t>
    </w:r>
    <w:r w:rsidRPr="00DF0007">
      <w:rPr>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95D" w:rsidRDefault="000B395D" w:rsidP="007F6AD3">
      <w:r>
        <w:separator/>
      </w:r>
    </w:p>
  </w:footnote>
  <w:footnote w:type="continuationSeparator" w:id="0">
    <w:p w:rsidR="000B395D" w:rsidRDefault="000B395D" w:rsidP="007F6A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D0374"/>
    <w:multiLevelType w:val="hybridMultilevel"/>
    <w:tmpl w:val="73FCE53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1E52E19"/>
    <w:multiLevelType w:val="hybridMultilevel"/>
    <w:tmpl w:val="1816685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A20FF3"/>
    <w:multiLevelType w:val="hybridMultilevel"/>
    <w:tmpl w:val="42D09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A6364B"/>
    <w:multiLevelType w:val="hybridMultilevel"/>
    <w:tmpl w:val="0ABC2D6A"/>
    <w:lvl w:ilvl="0" w:tplc="F22E66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6F1E01"/>
    <w:multiLevelType w:val="hybridMultilevel"/>
    <w:tmpl w:val="57BEA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F956BC"/>
    <w:multiLevelType w:val="hybridMultilevel"/>
    <w:tmpl w:val="403A7E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E30E1"/>
    <w:multiLevelType w:val="hybridMultilevel"/>
    <w:tmpl w:val="CB1C8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604AD9"/>
    <w:multiLevelType w:val="hybridMultilevel"/>
    <w:tmpl w:val="A06007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207823"/>
    <w:multiLevelType w:val="hybridMultilevel"/>
    <w:tmpl w:val="568EDA54"/>
    <w:lvl w:ilvl="0" w:tplc="04090019">
      <w:start w:val="1"/>
      <w:numFmt w:val="lowerLetter"/>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14A792D"/>
    <w:multiLevelType w:val="hybridMultilevel"/>
    <w:tmpl w:val="0F9AF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35C5647"/>
    <w:multiLevelType w:val="hybridMultilevel"/>
    <w:tmpl w:val="6A4EA5C6"/>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1">
    <w:nsid w:val="500E6115"/>
    <w:multiLevelType w:val="hybridMultilevel"/>
    <w:tmpl w:val="8D709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1C772D"/>
    <w:multiLevelType w:val="hybridMultilevel"/>
    <w:tmpl w:val="32462C4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4420E7F"/>
    <w:multiLevelType w:val="hybridMultilevel"/>
    <w:tmpl w:val="8EA4A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564170"/>
    <w:multiLevelType w:val="hybridMultilevel"/>
    <w:tmpl w:val="6DF4A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7"/>
  </w:num>
  <w:num w:numId="4">
    <w:abstractNumId w:val="14"/>
  </w:num>
  <w:num w:numId="5">
    <w:abstractNumId w:val="12"/>
  </w:num>
  <w:num w:numId="6">
    <w:abstractNumId w:val="11"/>
  </w:num>
  <w:num w:numId="7">
    <w:abstractNumId w:val="6"/>
  </w:num>
  <w:num w:numId="8">
    <w:abstractNumId w:val="9"/>
  </w:num>
  <w:num w:numId="9">
    <w:abstractNumId w:val="5"/>
  </w:num>
  <w:num w:numId="10">
    <w:abstractNumId w:val="13"/>
  </w:num>
  <w:num w:numId="11">
    <w:abstractNumId w:val="10"/>
  </w:num>
  <w:num w:numId="12">
    <w:abstractNumId w:val="2"/>
  </w:num>
  <w:num w:numId="13">
    <w:abstractNumId w:val="0"/>
  </w:num>
  <w:num w:numId="14">
    <w:abstractNumId w:val="3"/>
  </w:num>
  <w:num w:numId="15">
    <w:abstractNumId w:val="8"/>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64"/>
    <w:rsid w:val="00015623"/>
    <w:rsid w:val="000165F7"/>
    <w:rsid w:val="0005376C"/>
    <w:rsid w:val="00086B03"/>
    <w:rsid w:val="000B395D"/>
    <w:rsid w:val="000D0C27"/>
    <w:rsid w:val="000E0583"/>
    <w:rsid w:val="000F0AAE"/>
    <w:rsid w:val="000F0F96"/>
    <w:rsid w:val="000F7EB0"/>
    <w:rsid w:val="00112295"/>
    <w:rsid w:val="00112BEF"/>
    <w:rsid w:val="001220BA"/>
    <w:rsid w:val="001221BF"/>
    <w:rsid w:val="00126471"/>
    <w:rsid w:val="00127F42"/>
    <w:rsid w:val="00131580"/>
    <w:rsid w:val="00142D04"/>
    <w:rsid w:val="00155188"/>
    <w:rsid w:val="00161DA0"/>
    <w:rsid w:val="001832C8"/>
    <w:rsid w:val="00185884"/>
    <w:rsid w:val="00196A80"/>
    <w:rsid w:val="001A05B3"/>
    <w:rsid w:val="001A2D8F"/>
    <w:rsid w:val="001B560B"/>
    <w:rsid w:val="001B7D28"/>
    <w:rsid w:val="001D0CE9"/>
    <w:rsid w:val="001D52F0"/>
    <w:rsid w:val="001D663B"/>
    <w:rsid w:val="001E420B"/>
    <w:rsid w:val="001F055C"/>
    <w:rsid w:val="001F18FB"/>
    <w:rsid w:val="001F6355"/>
    <w:rsid w:val="002134EC"/>
    <w:rsid w:val="00213804"/>
    <w:rsid w:val="00221CCC"/>
    <w:rsid w:val="00227C58"/>
    <w:rsid w:val="002624C5"/>
    <w:rsid w:val="002633A1"/>
    <w:rsid w:val="002752EC"/>
    <w:rsid w:val="00284ED2"/>
    <w:rsid w:val="00292034"/>
    <w:rsid w:val="002A4AB8"/>
    <w:rsid w:val="002B22E9"/>
    <w:rsid w:val="002B3888"/>
    <w:rsid w:val="002D0015"/>
    <w:rsid w:val="002E0A1C"/>
    <w:rsid w:val="002E476A"/>
    <w:rsid w:val="002E5B87"/>
    <w:rsid w:val="002F02DB"/>
    <w:rsid w:val="002F0E03"/>
    <w:rsid w:val="002F1269"/>
    <w:rsid w:val="002F589D"/>
    <w:rsid w:val="003013D3"/>
    <w:rsid w:val="003019E6"/>
    <w:rsid w:val="003226F2"/>
    <w:rsid w:val="003247EF"/>
    <w:rsid w:val="00333828"/>
    <w:rsid w:val="00352540"/>
    <w:rsid w:val="00370090"/>
    <w:rsid w:val="00373D60"/>
    <w:rsid w:val="003827B1"/>
    <w:rsid w:val="003B0498"/>
    <w:rsid w:val="003C046C"/>
    <w:rsid w:val="003C2496"/>
    <w:rsid w:val="003E4B45"/>
    <w:rsid w:val="00405CB1"/>
    <w:rsid w:val="00413B13"/>
    <w:rsid w:val="004248BF"/>
    <w:rsid w:val="00425D5C"/>
    <w:rsid w:val="0042736A"/>
    <w:rsid w:val="00445092"/>
    <w:rsid w:val="00455584"/>
    <w:rsid w:val="00455D43"/>
    <w:rsid w:val="0047538D"/>
    <w:rsid w:val="004A7454"/>
    <w:rsid w:val="004C0B85"/>
    <w:rsid w:val="004C1107"/>
    <w:rsid w:val="004D0B78"/>
    <w:rsid w:val="004E07BB"/>
    <w:rsid w:val="00511906"/>
    <w:rsid w:val="0051296F"/>
    <w:rsid w:val="005144AB"/>
    <w:rsid w:val="0051696A"/>
    <w:rsid w:val="00552027"/>
    <w:rsid w:val="00571644"/>
    <w:rsid w:val="00582960"/>
    <w:rsid w:val="005B6E89"/>
    <w:rsid w:val="005E4006"/>
    <w:rsid w:val="005F7BB4"/>
    <w:rsid w:val="00601C56"/>
    <w:rsid w:val="00603561"/>
    <w:rsid w:val="00607F07"/>
    <w:rsid w:val="006201BF"/>
    <w:rsid w:val="006311C4"/>
    <w:rsid w:val="00633F40"/>
    <w:rsid w:val="00653689"/>
    <w:rsid w:val="00655CAA"/>
    <w:rsid w:val="00667B4D"/>
    <w:rsid w:val="006914D1"/>
    <w:rsid w:val="006A06F5"/>
    <w:rsid w:val="006A1D54"/>
    <w:rsid w:val="006A3EAB"/>
    <w:rsid w:val="006B4474"/>
    <w:rsid w:val="006D061A"/>
    <w:rsid w:val="006E7583"/>
    <w:rsid w:val="006E7973"/>
    <w:rsid w:val="006F4E0C"/>
    <w:rsid w:val="00706D82"/>
    <w:rsid w:val="00727396"/>
    <w:rsid w:val="00734BD1"/>
    <w:rsid w:val="007629C6"/>
    <w:rsid w:val="00764EA0"/>
    <w:rsid w:val="00776AA1"/>
    <w:rsid w:val="00783F61"/>
    <w:rsid w:val="007A0DEF"/>
    <w:rsid w:val="007E0864"/>
    <w:rsid w:val="007F6AD3"/>
    <w:rsid w:val="008004B5"/>
    <w:rsid w:val="00801118"/>
    <w:rsid w:val="00803665"/>
    <w:rsid w:val="008077AF"/>
    <w:rsid w:val="00813470"/>
    <w:rsid w:val="008235BD"/>
    <w:rsid w:val="0086577A"/>
    <w:rsid w:val="008748D4"/>
    <w:rsid w:val="008778F8"/>
    <w:rsid w:val="00884674"/>
    <w:rsid w:val="00891257"/>
    <w:rsid w:val="008966A7"/>
    <w:rsid w:val="008A3F3A"/>
    <w:rsid w:val="008A408B"/>
    <w:rsid w:val="008A4BE1"/>
    <w:rsid w:val="008A79DC"/>
    <w:rsid w:val="008B020F"/>
    <w:rsid w:val="008B52FA"/>
    <w:rsid w:val="008D0FE8"/>
    <w:rsid w:val="008D3F69"/>
    <w:rsid w:val="00900E95"/>
    <w:rsid w:val="00905AE6"/>
    <w:rsid w:val="0091483C"/>
    <w:rsid w:val="009153F6"/>
    <w:rsid w:val="009203EE"/>
    <w:rsid w:val="00946F7D"/>
    <w:rsid w:val="009536AB"/>
    <w:rsid w:val="009543C1"/>
    <w:rsid w:val="00954873"/>
    <w:rsid w:val="00954FB1"/>
    <w:rsid w:val="00962704"/>
    <w:rsid w:val="009770D0"/>
    <w:rsid w:val="009860F3"/>
    <w:rsid w:val="009D1E75"/>
    <w:rsid w:val="00A053EE"/>
    <w:rsid w:val="00A211AF"/>
    <w:rsid w:val="00A30160"/>
    <w:rsid w:val="00A3274E"/>
    <w:rsid w:val="00A46F02"/>
    <w:rsid w:val="00A47677"/>
    <w:rsid w:val="00A50571"/>
    <w:rsid w:val="00AA11FA"/>
    <w:rsid w:val="00AB6924"/>
    <w:rsid w:val="00AC35B6"/>
    <w:rsid w:val="00AE45B6"/>
    <w:rsid w:val="00B0565E"/>
    <w:rsid w:val="00B10D8E"/>
    <w:rsid w:val="00B125F0"/>
    <w:rsid w:val="00B40FAA"/>
    <w:rsid w:val="00B54DE4"/>
    <w:rsid w:val="00B6252F"/>
    <w:rsid w:val="00B65C19"/>
    <w:rsid w:val="00B860E0"/>
    <w:rsid w:val="00B9246C"/>
    <w:rsid w:val="00BA0CF0"/>
    <w:rsid w:val="00BA5DB1"/>
    <w:rsid w:val="00BC74C2"/>
    <w:rsid w:val="00BD4976"/>
    <w:rsid w:val="00BE1902"/>
    <w:rsid w:val="00BF39C5"/>
    <w:rsid w:val="00BF4B7F"/>
    <w:rsid w:val="00C250B5"/>
    <w:rsid w:val="00C26E22"/>
    <w:rsid w:val="00C31CEB"/>
    <w:rsid w:val="00C438BA"/>
    <w:rsid w:val="00C541D3"/>
    <w:rsid w:val="00C56933"/>
    <w:rsid w:val="00C6115D"/>
    <w:rsid w:val="00C76016"/>
    <w:rsid w:val="00C76637"/>
    <w:rsid w:val="00C7715F"/>
    <w:rsid w:val="00C85EE6"/>
    <w:rsid w:val="00C932B9"/>
    <w:rsid w:val="00C96C72"/>
    <w:rsid w:val="00CA15DD"/>
    <w:rsid w:val="00CA3688"/>
    <w:rsid w:val="00CA445F"/>
    <w:rsid w:val="00CB6258"/>
    <w:rsid w:val="00CC0987"/>
    <w:rsid w:val="00CD1949"/>
    <w:rsid w:val="00CE588B"/>
    <w:rsid w:val="00CF532C"/>
    <w:rsid w:val="00D1773B"/>
    <w:rsid w:val="00D455CF"/>
    <w:rsid w:val="00D47146"/>
    <w:rsid w:val="00D73E39"/>
    <w:rsid w:val="00D95277"/>
    <w:rsid w:val="00DC0122"/>
    <w:rsid w:val="00DC6497"/>
    <w:rsid w:val="00DF0007"/>
    <w:rsid w:val="00DF3866"/>
    <w:rsid w:val="00DF3D33"/>
    <w:rsid w:val="00E0755A"/>
    <w:rsid w:val="00E2161A"/>
    <w:rsid w:val="00E341EB"/>
    <w:rsid w:val="00E3465B"/>
    <w:rsid w:val="00E35F7E"/>
    <w:rsid w:val="00E61E96"/>
    <w:rsid w:val="00E71818"/>
    <w:rsid w:val="00EA2A0E"/>
    <w:rsid w:val="00EB4DE8"/>
    <w:rsid w:val="00EC3B3E"/>
    <w:rsid w:val="00EC452B"/>
    <w:rsid w:val="00EC7B68"/>
    <w:rsid w:val="00ED4AAC"/>
    <w:rsid w:val="00ED4C52"/>
    <w:rsid w:val="00EE6A2A"/>
    <w:rsid w:val="00EF2CB2"/>
    <w:rsid w:val="00EF652F"/>
    <w:rsid w:val="00F022DF"/>
    <w:rsid w:val="00F0799C"/>
    <w:rsid w:val="00F3594A"/>
    <w:rsid w:val="00F51648"/>
    <w:rsid w:val="00F533FD"/>
    <w:rsid w:val="00F61B1D"/>
    <w:rsid w:val="00F66CF7"/>
    <w:rsid w:val="00F6742C"/>
    <w:rsid w:val="00F67802"/>
    <w:rsid w:val="00F949C2"/>
    <w:rsid w:val="00F97838"/>
    <w:rsid w:val="00FA4458"/>
    <w:rsid w:val="00FB776C"/>
    <w:rsid w:val="00FC02EF"/>
    <w:rsid w:val="00FE2354"/>
    <w:rsid w:val="00FE767F"/>
    <w:rsid w:val="00FE77D3"/>
    <w:rsid w:val="00FF2073"/>
    <w:rsid w:val="00FF2E2E"/>
    <w:rsid w:val="00FF46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AD3"/>
    <w:pPr>
      <w:tabs>
        <w:tab w:val="center" w:pos="4680"/>
        <w:tab w:val="right" w:pos="9360"/>
      </w:tabs>
    </w:pPr>
  </w:style>
  <w:style w:type="character" w:customStyle="1" w:styleId="HeaderChar">
    <w:name w:val="Header Char"/>
    <w:basedOn w:val="DefaultParagraphFont"/>
    <w:link w:val="Header"/>
    <w:uiPriority w:val="99"/>
    <w:rsid w:val="007F6AD3"/>
  </w:style>
  <w:style w:type="paragraph" w:styleId="Footer">
    <w:name w:val="footer"/>
    <w:basedOn w:val="Normal"/>
    <w:link w:val="FooterChar"/>
    <w:unhideWhenUsed/>
    <w:rsid w:val="007F6AD3"/>
    <w:pPr>
      <w:tabs>
        <w:tab w:val="center" w:pos="4680"/>
        <w:tab w:val="right" w:pos="9360"/>
      </w:tabs>
    </w:pPr>
  </w:style>
  <w:style w:type="character" w:customStyle="1" w:styleId="FooterChar">
    <w:name w:val="Footer Char"/>
    <w:basedOn w:val="DefaultParagraphFont"/>
    <w:link w:val="Footer"/>
    <w:uiPriority w:val="99"/>
    <w:rsid w:val="007F6AD3"/>
  </w:style>
  <w:style w:type="paragraph" w:styleId="ListParagraph">
    <w:name w:val="List Paragraph"/>
    <w:basedOn w:val="Normal"/>
    <w:uiPriority w:val="34"/>
    <w:qFormat/>
    <w:rsid w:val="00405CB1"/>
    <w:pPr>
      <w:ind w:left="720"/>
      <w:contextualSpacing/>
    </w:pPr>
  </w:style>
  <w:style w:type="paragraph" w:styleId="FootnoteText">
    <w:name w:val="footnote text"/>
    <w:basedOn w:val="Normal"/>
    <w:link w:val="FootnoteTextChar"/>
    <w:uiPriority w:val="99"/>
    <w:semiHidden/>
    <w:unhideWhenUsed/>
    <w:rsid w:val="00DF0007"/>
    <w:rPr>
      <w:sz w:val="20"/>
      <w:szCs w:val="20"/>
    </w:rPr>
  </w:style>
  <w:style w:type="character" w:customStyle="1" w:styleId="FootnoteTextChar">
    <w:name w:val="Footnote Text Char"/>
    <w:basedOn w:val="DefaultParagraphFont"/>
    <w:link w:val="FootnoteText"/>
    <w:uiPriority w:val="99"/>
    <w:semiHidden/>
    <w:rsid w:val="00DF0007"/>
    <w:rPr>
      <w:sz w:val="20"/>
      <w:szCs w:val="20"/>
    </w:rPr>
  </w:style>
  <w:style w:type="character" w:styleId="FootnoteReference">
    <w:name w:val="footnote reference"/>
    <w:basedOn w:val="DefaultParagraphFont"/>
    <w:uiPriority w:val="99"/>
    <w:semiHidden/>
    <w:unhideWhenUsed/>
    <w:rsid w:val="00DF0007"/>
    <w:rPr>
      <w:vertAlign w:val="superscript"/>
    </w:rPr>
  </w:style>
  <w:style w:type="paragraph" w:styleId="EndnoteText">
    <w:name w:val="endnote text"/>
    <w:basedOn w:val="Normal"/>
    <w:link w:val="EndnoteTextChar"/>
    <w:uiPriority w:val="99"/>
    <w:semiHidden/>
    <w:unhideWhenUsed/>
    <w:rsid w:val="00F0799C"/>
    <w:rPr>
      <w:sz w:val="20"/>
      <w:szCs w:val="20"/>
    </w:rPr>
  </w:style>
  <w:style w:type="character" w:customStyle="1" w:styleId="EndnoteTextChar">
    <w:name w:val="Endnote Text Char"/>
    <w:basedOn w:val="DefaultParagraphFont"/>
    <w:link w:val="EndnoteText"/>
    <w:uiPriority w:val="99"/>
    <w:semiHidden/>
    <w:rsid w:val="00F0799C"/>
    <w:rPr>
      <w:sz w:val="20"/>
      <w:szCs w:val="20"/>
    </w:rPr>
  </w:style>
  <w:style w:type="character" w:styleId="EndnoteReference">
    <w:name w:val="endnote reference"/>
    <w:basedOn w:val="DefaultParagraphFont"/>
    <w:uiPriority w:val="99"/>
    <w:semiHidden/>
    <w:unhideWhenUsed/>
    <w:rsid w:val="00F0799C"/>
    <w:rPr>
      <w:vertAlign w:val="superscript"/>
    </w:rPr>
  </w:style>
  <w:style w:type="paragraph" w:styleId="BalloonText">
    <w:name w:val="Balloon Text"/>
    <w:basedOn w:val="Normal"/>
    <w:link w:val="BalloonTextChar"/>
    <w:uiPriority w:val="99"/>
    <w:semiHidden/>
    <w:unhideWhenUsed/>
    <w:rsid w:val="00734B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4BD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B52FA"/>
    <w:rPr>
      <w:sz w:val="18"/>
      <w:szCs w:val="18"/>
    </w:rPr>
  </w:style>
  <w:style w:type="paragraph" w:styleId="CommentText">
    <w:name w:val="annotation text"/>
    <w:basedOn w:val="Normal"/>
    <w:link w:val="CommentTextChar"/>
    <w:uiPriority w:val="99"/>
    <w:semiHidden/>
    <w:unhideWhenUsed/>
    <w:rsid w:val="008B52FA"/>
    <w:rPr>
      <w:sz w:val="24"/>
      <w:szCs w:val="24"/>
    </w:rPr>
  </w:style>
  <w:style w:type="character" w:customStyle="1" w:styleId="CommentTextChar">
    <w:name w:val="Comment Text Char"/>
    <w:basedOn w:val="DefaultParagraphFont"/>
    <w:link w:val="CommentText"/>
    <w:uiPriority w:val="99"/>
    <w:semiHidden/>
    <w:rsid w:val="008B52FA"/>
    <w:rPr>
      <w:sz w:val="24"/>
      <w:szCs w:val="24"/>
    </w:rPr>
  </w:style>
  <w:style w:type="paragraph" w:styleId="CommentSubject">
    <w:name w:val="annotation subject"/>
    <w:basedOn w:val="CommentText"/>
    <w:next w:val="CommentText"/>
    <w:link w:val="CommentSubjectChar"/>
    <w:uiPriority w:val="99"/>
    <w:semiHidden/>
    <w:unhideWhenUsed/>
    <w:rsid w:val="008B52FA"/>
    <w:rPr>
      <w:b/>
      <w:bCs/>
      <w:sz w:val="20"/>
      <w:szCs w:val="20"/>
    </w:rPr>
  </w:style>
  <w:style w:type="character" w:customStyle="1" w:styleId="CommentSubjectChar">
    <w:name w:val="Comment Subject Char"/>
    <w:basedOn w:val="CommentTextChar"/>
    <w:link w:val="CommentSubject"/>
    <w:uiPriority w:val="99"/>
    <w:semiHidden/>
    <w:rsid w:val="008B52FA"/>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6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F6AD3"/>
    <w:pPr>
      <w:tabs>
        <w:tab w:val="center" w:pos="4680"/>
        <w:tab w:val="right" w:pos="9360"/>
      </w:tabs>
    </w:pPr>
  </w:style>
  <w:style w:type="character" w:customStyle="1" w:styleId="HeaderChar">
    <w:name w:val="Header Char"/>
    <w:basedOn w:val="DefaultParagraphFont"/>
    <w:link w:val="Header"/>
    <w:uiPriority w:val="99"/>
    <w:rsid w:val="007F6AD3"/>
  </w:style>
  <w:style w:type="paragraph" w:styleId="Footer">
    <w:name w:val="footer"/>
    <w:basedOn w:val="Normal"/>
    <w:link w:val="FooterChar"/>
    <w:unhideWhenUsed/>
    <w:rsid w:val="007F6AD3"/>
    <w:pPr>
      <w:tabs>
        <w:tab w:val="center" w:pos="4680"/>
        <w:tab w:val="right" w:pos="9360"/>
      </w:tabs>
    </w:pPr>
  </w:style>
  <w:style w:type="character" w:customStyle="1" w:styleId="FooterChar">
    <w:name w:val="Footer Char"/>
    <w:basedOn w:val="DefaultParagraphFont"/>
    <w:link w:val="Footer"/>
    <w:uiPriority w:val="99"/>
    <w:rsid w:val="007F6AD3"/>
  </w:style>
  <w:style w:type="paragraph" w:styleId="ListParagraph">
    <w:name w:val="List Paragraph"/>
    <w:basedOn w:val="Normal"/>
    <w:uiPriority w:val="34"/>
    <w:qFormat/>
    <w:rsid w:val="00405CB1"/>
    <w:pPr>
      <w:ind w:left="720"/>
      <w:contextualSpacing/>
    </w:pPr>
  </w:style>
  <w:style w:type="paragraph" w:styleId="FootnoteText">
    <w:name w:val="footnote text"/>
    <w:basedOn w:val="Normal"/>
    <w:link w:val="FootnoteTextChar"/>
    <w:uiPriority w:val="99"/>
    <w:semiHidden/>
    <w:unhideWhenUsed/>
    <w:rsid w:val="00DF0007"/>
    <w:rPr>
      <w:sz w:val="20"/>
      <w:szCs w:val="20"/>
    </w:rPr>
  </w:style>
  <w:style w:type="character" w:customStyle="1" w:styleId="FootnoteTextChar">
    <w:name w:val="Footnote Text Char"/>
    <w:basedOn w:val="DefaultParagraphFont"/>
    <w:link w:val="FootnoteText"/>
    <w:uiPriority w:val="99"/>
    <w:semiHidden/>
    <w:rsid w:val="00DF0007"/>
    <w:rPr>
      <w:sz w:val="20"/>
      <w:szCs w:val="20"/>
    </w:rPr>
  </w:style>
  <w:style w:type="character" w:styleId="FootnoteReference">
    <w:name w:val="footnote reference"/>
    <w:basedOn w:val="DefaultParagraphFont"/>
    <w:uiPriority w:val="99"/>
    <w:semiHidden/>
    <w:unhideWhenUsed/>
    <w:rsid w:val="00DF0007"/>
    <w:rPr>
      <w:vertAlign w:val="superscript"/>
    </w:rPr>
  </w:style>
  <w:style w:type="paragraph" w:styleId="EndnoteText">
    <w:name w:val="endnote text"/>
    <w:basedOn w:val="Normal"/>
    <w:link w:val="EndnoteTextChar"/>
    <w:uiPriority w:val="99"/>
    <w:semiHidden/>
    <w:unhideWhenUsed/>
    <w:rsid w:val="00F0799C"/>
    <w:rPr>
      <w:sz w:val="20"/>
      <w:szCs w:val="20"/>
    </w:rPr>
  </w:style>
  <w:style w:type="character" w:customStyle="1" w:styleId="EndnoteTextChar">
    <w:name w:val="Endnote Text Char"/>
    <w:basedOn w:val="DefaultParagraphFont"/>
    <w:link w:val="EndnoteText"/>
    <w:uiPriority w:val="99"/>
    <w:semiHidden/>
    <w:rsid w:val="00F0799C"/>
    <w:rPr>
      <w:sz w:val="20"/>
      <w:szCs w:val="20"/>
    </w:rPr>
  </w:style>
  <w:style w:type="character" w:styleId="EndnoteReference">
    <w:name w:val="endnote reference"/>
    <w:basedOn w:val="DefaultParagraphFont"/>
    <w:uiPriority w:val="99"/>
    <w:semiHidden/>
    <w:unhideWhenUsed/>
    <w:rsid w:val="00F0799C"/>
    <w:rPr>
      <w:vertAlign w:val="superscript"/>
    </w:rPr>
  </w:style>
  <w:style w:type="paragraph" w:styleId="BalloonText">
    <w:name w:val="Balloon Text"/>
    <w:basedOn w:val="Normal"/>
    <w:link w:val="BalloonTextChar"/>
    <w:uiPriority w:val="99"/>
    <w:semiHidden/>
    <w:unhideWhenUsed/>
    <w:rsid w:val="00734BD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34BD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B52FA"/>
    <w:rPr>
      <w:sz w:val="18"/>
      <w:szCs w:val="18"/>
    </w:rPr>
  </w:style>
  <w:style w:type="paragraph" w:styleId="CommentText">
    <w:name w:val="annotation text"/>
    <w:basedOn w:val="Normal"/>
    <w:link w:val="CommentTextChar"/>
    <w:uiPriority w:val="99"/>
    <w:semiHidden/>
    <w:unhideWhenUsed/>
    <w:rsid w:val="008B52FA"/>
    <w:rPr>
      <w:sz w:val="24"/>
      <w:szCs w:val="24"/>
    </w:rPr>
  </w:style>
  <w:style w:type="character" w:customStyle="1" w:styleId="CommentTextChar">
    <w:name w:val="Comment Text Char"/>
    <w:basedOn w:val="DefaultParagraphFont"/>
    <w:link w:val="CommentText"/>
    <w:uiPriority w:val="99"/>
    <w:semiHidden/>
    <w:rsid w:val="008B52FA"/>
    <w:rPr>
      <w:sz w:val="24"/>
      <w:szCs w:val="24"/>
    </w:rPr>
  </w:style>
  <w:style w:type="paragraph" w:styleId="CommentSubject">
    <w:name w:val="annotation subject"/>
    <w:basedOn w:val="CommentText"/>
    <w:next w:val="CommentText"/>
    <w:link w:val="CommentSubjectChar"/>
    <w:uiPriority w:val="99"/>
    <w:semiHidden/>
    <w:unhideWhenUsed/>
    <w:rsid w:val="008B52FA"/>
    <w:rPr>
      <w:b/>
      <w:bCs/>
      <w:sz w:val="20"/>
      <w:szCs w:val="20"/>
    </w:rPr>
  </w:style>
  <w:style w:type="character" w:customStyle="1" w:styleId="CommentSubjectChar">
    <w:name w:val="Comment Subject Char"/>
    <w:basedOn w:val="CommentTextChar"/>
    <w:link w:val="CommentSubject"/>
    <w:uiPriority w:val="99"/>
    <w:semiHidden/>
    <w:rsid w:val="008B52F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107572">
      <w:bodyDiv w:val="1"/>
      <w:marLeft w:val="0"/>
      <w:marRight w:val="0"/>
      <w:marTop w:val="0"/>
      <w:marBottom w:val="0"/>
      <w:divBdr>
        <w:top w:val="none" w:sz="0" w:space="0" w:color="auto"/>
        <w:left w:val="none" w:sz="0" w:space="0" w:color="auto"/>
        <w:bottom w:val="none" w:sz="0" w:space="0" w:color="auto"/>
        <w:right w:val="none" w:sz="0" w:space="0" w:color="auto"/>
      </w:divBdr>
    </w:div>
    <w:div w:id="2016881078">
      <w:bodyDiv w:val="1"/>
      <w:marLeft w:val="0"/>
      <w:marRight w:val="0"/>
      <w:marTop w:val="0"/>
      <w:marBottom w:val="0"/>
      <w:divBdr>
        <w:top w:val="none" w:sz="0" w:space="0" w:color="auto"/>
        <w:left w:val="none" w:sz="0" w:space="0" w:color="auto"/>
        <w:bottom w:val="none" w:sz="0" w:space="0" w:color="auto"/>
        <w:right w:val="none" w:sz="0" w:space="0" w:color="auto"/>
      </w:divBdr>
      <w:divsChild>
        <w:div w:id="1359742209">
          <w:marLeft w:val="547"/>
          <w:marRight w:val="0"/>
          <w:marTop w:val="0"/>
          <w:marBottom w:val="0"/>
          <w:divBdr>
            <w:top w:val="none" w:sz="0" w:space="0" w:color="auto"/>
            <w:left w:val="none" w:sz="0" w:space="0" w:color="auto"/>
            <w:bottom w:val="none" w:sz="0" w:space="0" w:color="auto"/>
            <w:right w:val="none" w:sz="0" w:space="0" w:color="auto"/>
          </w:divBdr>
        </w:div>
        <w:div w:id="89786506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customXml" Target="ink/ink2.xml"/><Relationship Id="rId3" Type="http://schemas.openxmlformats.org/officeDocument/2006/relationships/styles" Target="styles.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image" Target="media/image1.e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customXml" Target="ink/ink1.xml"/><Relationship Id="rId32"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oter" Target="footer1.xml"/><Relationship Id="rId10" Type="http://schemas.openxmlformats.org/officeDocument/2006/relationships/diagramLayout" Target="diagrams/layout1.xml"/><Relationship Id="rId19" Type="http://schemas.openxmlformats.org/officeDocument/2006/relationships/diagramData" Target="diagrams/data3.xm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customXml" Target="ink/ink3.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8D8CE6-E4EB-4375-A5A9-8AEF40602277}" type="doc">
      <dgm:prSet loTypeId="urn:microsoft.com/office/officeart/2005/8/layout/process1" loCatId="process" qsTypeId="urn:microsoft.com/office/officeart/2005/8/quickstyle/3d4" qsCatId="3D" csTypeId="urn:microsoft.com/office/officeart/2005/8/colors/accent1_2" csCatId="accent1" phldr="1"/>
      <dgm:spPr/>
      <dgm:t>
        <a:bodyPr/>
        <a:lstStyle/>
        <a:p>
          <a:endParaRPr lang="en-US"/>
        </a:p>
      </dgm:t>
    </dgm:pt>
    <dgm:pt modelId="{3F886B7D-AD57-4152-8B98-AA3BADEBAADB}">
      <dgm:prSet phldrT="[Text]"/>
      <dgm:spPr/>
      <dgm:t>
        <a:bodyPr/>
        <a:lstStyle/>
        <a:p>
          <a:r>
            <a:rPr lang="en-US">
              <a:solidFill>
                <a:sysClr val="windowText" lastClr="FFFF00"/>
              </a:solidFill>
            </a:rPr>
            <a:t>Transfer with an associate's degree without having completed CSOV 101 or the equivalent</a:t>
          </a:r>
        </a:p>
        <a:p>
          <a:r>
            <a:rPr lang="en-US">
              <a:solidFill>
                <a:sysClr val="windowText" lastClr="FFFF00"/>
              </a:solidFill>
            </a:rPr>
            <a:t>OR</a:t>
          </a:r>
        </a:p>
        <a:p>
          <a:r>
            <a:rPr lang="en-US">
              <a:solidFill>
                <a:sysClr val="windowText" lastClr="FFFF00"/>
              </a:solidFill>
            </a:rPr>
            <a:t>Continue at NWIC following completion of an associate's degree that did not contain CSOV 101 or equivalent</a:t>
          </a:r>
        </a:p>
      </dgm:t>
    </dgm:pt>
    <dgm:pt modelId="{CE6E24B9-A177-42D3-A246-5CE505B01E39}" type="parTrans" cxnId="{4FDD0424-C104-4701-BCD8-7A56709237A3}">
      <dgm:prSet/>
      <dgm:spPr/>
      <dgm:t>
        <a:bodyPr/>
        <a:lstStyle/>
        <a:p>
          <a:endParaRPr lang="en-US"/>
        </a:p>
      </dgm:t>
    </dgm:pt>
    <dgm:pt modelId="{A0819A53-47DD-4AE6-BCE1-CEF0DB0F28C8}" type="sibTrans" cxnId="{4FDD0424-C104-4701-BCD8-7A56709237A3}">
      <dgm:prSet/>
      <dgm:spPr/>
      <dgm:t>
        <a:bodyPr/>
        <a:lstStyle/>
        <a:p>
          <a:endParaRPr lang="en-US"/>
        </a:p>
      </dgm:t>
    </dgm:pt>
    <dgm:pt modelId="{30EC4A04-5A73-47CA-A142-1AFC8C922733}">
      <dgm:prSet phldrT="[Text]"/>
      <dgm:spPr/>
      <dgm:t>
        <a:bodyPr/>
        <a:lstStyle/>
        <a:p>
          <a:r>
            <a:rPr lang="en-US">
              <a:solidFill>
                <a:sysClr val="windowText" lastClr="FFFF00"/>
              </a:solidFill>
            </a:rPr>
            <a:t>Complete CSOV 300</a:t>
          </a:r>
        </a:p>
      </dgm:t>
    </dgm:pt>
    <dgm:pt modelId="{4656A0DE-8513-4141-A59E-7246EABBBA25}" type="parTrans" cxnId="{324C1386-FA61-45C9-8EF9-B4540E7B3B47}">
      <dgm:prSet/>
      <dgm:spPr/>
      <dgm:t>
        <a:bodyPr/>
        <a:lstStyle/>
        <a:p>
          <a:endParaRPr lang="en-US"/>
        </a:p>
      </dgm:t>
    </dgm:pt>
    <dgm:pt modelId="{FE393224-EAB9-4E79-A4D7-A89E5980A8A8}" type="sibTrans" cxnId="{324C1386-FA61-45C9-8EF9-B4540E7B3B47}">
      <dgm:prSet/>
      <dgm:spPr/>
      <dgm:t>
        <a:bodyPr/>
        <a:lstStyle/>
        <a:p>
          <a:endParaRPr lang="en-US"/>
        </a:p>
      </dgm:t>
    </dgm:pt>
    <dgm:pt modelId="{4E036BB1-7C09-4381-8FFF-92734E115A22}" type="pres">
      <dgm:prSet presAssocID="{D28D8CE6-E4EB-4375-A5A9-8AEF40602277}" presName="Name0" presStyleCnt="0">
        <dgm:presLayoutVars>
          <dgm:dir/>
          <dgm:resizeHandles val="exact"/>
        </dgm:presLayoutVars>
      </dgm:prSet>
      <dgm:spPr/>
      <dgm:t>
        <a:bodyPr/>
        <a:lstStyle/>
        <a:p>
          <a:endParaRPr lang="en-US"/>
        </a:p>
      </dgm:t>
    </dgm:pt>
    <dgm:pt modelId="{50175239-D20E-45C6-BAC0-9DF330FD0D40}" type="pres">
      <dgm:prSet presAssocID="{3F886B7D-AD57-4152-8B98-AA3BADEBAADB}" presName="node" presStyleLbl="node1" presStyleIdx="0" presStyleCnt="2" custLinFactNeighborX="-931">
        <dgm:presLayoutVars>
          <dgm:bulletEnabled val="1"/>
        </dgm:presLayoutVars>
      </dgm:prSet>
      <dgm:spPr/>
      <dgm:t>
        <a:bodyPr/>
        <a:lstStyle/>
        <a:p>
          <a:endParaRPr lang="en-US"/>
        </a:p>
      </dgm:t>
    </dgm:pt>
    <dgm:pt modelId="{E1D3AB28-C5C2-44C4-99EE-05B01C37A923}" type="pres">
      <dgm:prSet presAssocID="{A0819A53-47DD-4AE6-BCE1-CEF0DB0F28C8}" presName="sibTrans" presStyleLbl="sibTrans2D1" presStyleIdx="0" presStyleCnt="1"/>
      <dgm:spPr/>
      <dgm:t>
        <a:bodyPr/>
        <a:lstStyle/>
        <a:p>
          <a:endParaRPr lang="en-US"/>
        </a:p>
      </dgm:t>
    </dgm:pt>
    <dgm:pt modelId="{4C3A79A9-AAF4-41F2-B77C-6A53B885F7C3}" type="pres">
      <dgm:prSet presAssocID="{A0819A53-47DD-4AE6-BCE1-CEF0DB0F28C8}" presName="connectorText" presStyleLbl="sibTrans2D1" presStyleIdx="0" presStyleCnt="1"/>
      <dgm:spPr/>
      <dgm:t>
        <a:bodyPr/>
        <a:lstStyle/>
        <a:p>
          <a:endParaRPr lang="en-US"/>
        </a:p>
      </dgm:t>
    </dgm:pt>
    <dgm:pt modelId="{0CEA1154-2F6F-4C05-8E96-CF0C9B5227FF}" type="pres">
      <dgm:prSet presAssocID="{30EC4A04-5A73-47CA-A142-1AFC8C922733}" presName="node" presStyleLbl="node1" presStyleIdx="1" presStyleCnt="2" custScaleX="89467">
        <dgm:presLayoutVars>
          <dgm:bulletEnabled val="1"/>
        </dgm:presLayoutVars>
      </dgm:prSet>
      <dgm:spPr/>
      <dgm:t>
        <a:bodyPr/>
        <a:lstStyle/>
        <a:p>
          <a:endParaRPr lang="en-US"/>
        </a:p>
      </dgm:t>
    </dgm:pt>
  </dgm:ptLst>
  <dgm:cxnLst>
    <dgm:cxn modelId="{D6808FE9-3512-42DB-8042-81E4D2906CF6}" type="presOf" srcId="{A0819A53-47DD-4AE6-BCE1-CEF0DB0F28C8}" destId="{4C3A79A9-AAF4-41F2-B77C-6A53B885F7C3}" srcOrd="1" destOrd="0" presId="urn:microsoft.com/office/officeart/2005/8/layout/process1"/>
    <dgm:cxn modelId="{BB5CFC6A-3120-4DED-96B9-7AE90400014F}" type="presOf" srcId="{D28D8CE6-E4EB-4375-A5A9-8AEF40602277}" destId="{4E036BB1-7C09-4381-8FFF-92734E115A22}" srcOrd="0" destOrd="0" presId="urn:microsoft.com/office/officeart/2005/8/layout/process1"/>
    <dgm:cxn modelId="{FCE21D74-D525-4343-B3D3-A8ABEB6404E9}" type="presOf" srcId="{A0819A53-47DD-4AE6-BCE1-CEF0DB0F28C8}" destId="{E1D3AB28-C5C2-44C4-99EE-05B01C37A923}" srcOrd="0" destOrd="0" presId="urn:microsoft.com/office/officeart/2005/8/layout/process1"/>
    <dgm:cxn modelId="{324C1386-FA61-45C9-8EF9-B4540E7B3B47}" srcId="{D28D8CE6-E4EB-4375-A5A9-8AEF40602277}" destId="{30EC4A04-5A73-47CA-A142-1AFC8C922733}" srcOrd="1" destOrd="0" parTransId="{4656A0DE-8513-4141-A59E-7246EABBBA25}" sibTransId="{FE393224-EAB9-4E79-A4D7-A89E5980A8A8}"/>
    <dgm:cxn modelId="{3D8DBF98-19EC-4C0B-80C2-9BA673EF4848}" type="presOf" srcId="{30EC4A04-5A73-47CA-A142-1AFC8C922733}" destId="{0CEA1154-2F6F-4C05-8E96-CF0C9B5227FF}" srcOrd="0" destOrd="0" presId="urn:microsoft.com/office/officeart/2005/8/layout/process1"/>
    <dgm:cxn modelId="{CCD7EED4-199C-4E4D-A406-8B4B54830FF6}" type="presOf" srcId="{3F886B7D-AD57-4152-8B98-AA3BADEBAADB}" destId="{50175239-D20E-45C6-BAC0-9DF330FD0D40}" srcOrd="0" destOrd="0" presId="urn:microsoft.com/office/officeart/2005/8/layout/process1"/>
    <dgm:cxn modelId="{4FDD0424-C104-4701-BCD8-7A56709237A3}" srcId="{D28D8CE6-E4EB-4375-A5A9-8AEF40602277}" destId="{3F886B7D-AD57-4152-8B98-AA3BADEBAADB}" srcOrd="0" destOrd="0" parTransId="{CE6E24B9-A177-42D3-A246-5CE505B01E39}" sibTransId="{A0819A53-47DD-4AE6-BCE1-CEF0DB0F28C8}"/>
    <dgm:cxn modelId="{1B64896A-3A5C-4591-BEBD-1BAE2CFD4BA8}" type="presParOf" srcId="{4E036BB1-7C09-4381-8FFF-92734E115A22}" destId="{50175239-D20E-45C6-BAC0-9DF330FD0D40}" srcOrd="0" destOrd="0" presId="urn:microsoft.com/office/officeart/2005/8/layout/process1"/>
    <dgm:cxn modelId="{2C292563-C414-4FD5-B697-746E0E7A307F}" type="presParOf" srcId="{4E036BB1-7C09-4381-8FFF-92734E115A22}" destId="{E1D3AB28-C5C2-44C4-99EE-05B01C37A923}" srcOrd="1" destOrd="0" presId="urn:microsoft.com/office/officeart/2005/8/layout/process1"/>
    <dgm:cxn modelId="{AF99B5F7-7374-4CE8-9301-20257C68523C}" type="presParOf" srcId="{E1D3AB28-C5C2-44C4-99EE-05B01C37A923}" destId="{4C3A79A9-AAF4-41F2-B77C-6A53B885F7C3}" srcOrd="0" destOrd="0" presId="urn:microsoft.com/office/officeart/2005/8/layout/process1"/>
    <dgm:cxn modelId="{3ED1C0EC-BCB4-4D5F-9AF9-5BD79C521C9A}" type="presParOf" srcId="{4E036BB1-7C09-4381-8FFF-92734E115A22}" destId="{0CEA1154-2F6F-4C05-8E96-CF0C9B5227FF}" srcOrd="2" destOrd="0" presId="urn:microsoft.com/office/officeart/2005/8/layout/process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28D8CE6-E4EB-4375-A5A9-8AEF40602277}" type="doc">
      <dgm:prSet loTypeId="urn:microsoft.com/office/officeart/2005/8/layout/process1" loCatId="process" qsTypeId="urn:microsoft.com/office/officeart/2005/8/quickstyle/3d4" qsCatId="3D" csTypeId="urn:microsoft.com/office/officeart/2005/8/colors/accent1_2" csCatId="accent1" phldr="1"/>
      <dgm:spPr/>
      <dgm:t>
        <a:bodyPr/>
        <a:lstStyle/>
        <a:p>
          <a:endParaRPr lang="en-US"/>
        </a:p>
      </dgm:t>
    </dgm:pt>
    <dgm:pt modelId="{3F886B7D-AD57-4152-8B98-AA3BADEBAADB}">
      <dgm:prSet phldrT="[Text]" custT="1"/>
      <dgm:spPr/>
      <dgm:t>
        <a:bodyPr/>
        <a:lstStyle/>
        <a:p>
          <a:r>
            <a:rPr lang="en-US" sz="1050">
              <a:solidFill>
                <a:sysClr val="windowText" lastClr="FFFF00"/>
              </a:solidFill>
            </a:rPr>
            <a:t>Completed CSOV 101 or the equivalent  </a:t>
          </a:r>
          <a:br>
            <a:rPr lang="en-US" sz="1050">
              <a:solidFill>
                <a:sysClr val="windowText" lastClr="FFFF00"/>
              </a:solidFill>
            </a:rPr>
          </a:br>
          <a:endParaRPr lang="en-US" sz="1050">
            <a:solidFill>
              <a:sysClr val="windowText" lastClr="FFFF00"/>
            </a:solidFill>
          </a:endParaRPr>
        </a:p>
      </dgm:t>
    </dgm:pt>
    <dgm:pt modelId="{CE6E24B9-A177-42D3-A246-5CE505B01E39}" type="parTrans" cxnId="{4FDD0424-C104-4701-BCD8-7A56709237A3}">
      <dgm:prSet/>
      <dgm:spPr/>
      <dgm:t>
        <a:bodyPr/>
        <a:lstStyle/>
        <a:p>
          <a:endParaRPr lang="en-US"/>
        </a:p>
      </dgm:t>
    </dgm:pt>
    <dgm:pt modelId="{A0819A53-47DD-4AE6-BCE1-CEF0DB0F28C8}" type="sibTrans" cxnId="{4FDD0424-C104-4701-BCD8-7A56709237A3}">
      <dgm:prSet/>
      <dgm:spPr/>
      <dgm:t>
        <a:bodyPr/>
        <a:lstStyle/>
        <a:p>
          <a:endParaRPr lang="en-US"/>
        </a:p>
      </dgm:t>
    </dgm:pt>
    <dgm:pt modelId="{30EC4A04-5A73-47CA-A142-1AFC8C922733}">
      <dgm:prSet phldrT="[Text]" custT="1"/>
      <dgm:spPr/>
      <dgm:t>
        <a:bodyPr/>
        <a:lstStyle/>
        <a:p>
          <a:r>
            <a:rPr lang="en-US" sz="1100">
              <a:solidFill>
                <a:sysClr val="windowText" lastClr="FFFF00"/>
              </a:solidFill>
            </a:rPr>
            <a:t>Complete five upper-division </a:t>
          </a:r>
        </a:p>
        <a:p>
          <a:r>
            <a:rPr lang="en-US" sz="1100">
              <a:solidFill>
                <a:sysClr val="windowText" lastClr="FFFF00"/>
              </a:solidFill>
            </a:rPr>
            <a:t>elective credits in place of CSOV 300</a:t>
          </a:r>
        </a:p>
      </dgm:t>
    </dgm:pt>
    <dgm:pt modelId="{4656A0DE-8513-4141-A59E-7246EABBBA25}" type="parTrans" cxnId="{324C1386-FA61-45C9-8EF9-B4540E7B3B47}">
      <dgm:prSet/>
      <dgm:spPr/>
      <dgm:t>
        <a:bodyPr/>
        <a:lstStyle/>
        <a:p>
          <a:endParaRPr lang="en-US"/>
        </a:p>
      </dgm:t>
    </dgm:pt>
    <dgm:pt modelId="{FE393224-EAB9-4E79-A4D7-A89E5980A8A8}" type="sibTrans" cxnId="{324C1386-FA61-45C9-8EF9-B4540E7B3B47}">
      <dgm:prSet/>
      <dgm:spPr/>
      <dgm:t>
        <a:bodyPr/>
        <a:lstStyle/>
        <a:p>
          <a:endParaRPr lang="en-US"/>
        </a:p>
      </dgm:t>
    </dgm:pt>
    <dgm:pt modelId="{4E036BB1-7C09-4381-8FFF-92734E115A22}" type="pres">
      <dgm:prSet presAssocID="{D28D8CE6-E4EB-4375-A5A9-8AEF40602277}" presName="Name0" presStyleCnt="0">
        <dgm:presLayoutVars>
          <dgm:dir/>
          <dgm:resizeHandles val="exact"/>
        </dgm:presLayoutVars>
      </dgm:prSet>
      <dgm:spPr/>
      <dgm:t>
        <a:bodyPr/>
        <a:lstStyle/>
        <a:p>
          <a:endParaRPr lang="en-US"/>
        </a:p>
      </dgm:t>
    </dgm:pt>
    <dgm:pt modelId="{50175239-D20E-45C6-BAC0-9DF330FD0D40}" type="pres">
      <dgm:prSet presAssocID="{3F886B7D-AD57-4152-8B98-AA3BADEBAADB}" presName="node" presStyleLbl="node1" presStyleIdx="0" presStyleCnt="2" custLinFactNeighborX="-15868">
        <dgm:presLayoutVars>
          <dgm:bulletEnabled val="1"/>
        </dgm:presLayoutVars>
      </dgm:prSet>
      <dgm:spPr/>
      <dgm:t>
        <a:bodyPr/>
        <a:lstStyle/>
        <a:p>
          <a:endParaRPr lang="en-US"/>
        </a:p>
      </dgm:t>
    </dgm:pt>
    <dgm:pt modelId="{E1D3AB28-C5C2-44C4-99EE-05B01C37A923}" type="pres">
      <dgm:prSet presAssocID="{A0819A53-47DD-4AE6-BCE1-CEF0DB0F28C8}" presName="sibTrans" presStyleLbl="sibTrans2D1" presStyleIdx="0" presStyleCnt="1"/>
      <dgm:spPr/>
      <dgm:t>
        <a:bodyPr/>
        <a:lstStyle/>
        <a:p>
          <a:endParaRPr lang="en-US"/>
        </a:p>
      </dgm:t>
    </dgm:pt>
    <dgm:pt modelId="{4C3A79A9-AAF4-41F2-B77C-6A53B885F7C3}" type="pres">
      <dgm:prSet presAssocID="{A0819A53-47DD-4AE6-BCE1-CEF0DB0F28C8}" presName="connectorText" presStyleLbl="sibTrans2D1" presStyleIdx="0" presStyleCnt="1"/>
      <dgm:spPr/>
      <dgm:t>
        <a:bodyPr/>
        <a:lstStyle/>
        <a:p>
          <a:endParaRPr lang="en-US"/>
        </a:p>
      </dgm:t>
    </dgm:pt>
    <dgm:pt modelId="{0CEA1154-2F6F-4C05-8E96-CF0C9B5227FF}" type="pres">
      <dgm:prSet presAssocID="{30EC4A04-5A73-47CA-A142-1AFC8C922733}" presName="node" presStyleLbl="node1" presStyleIdx="1" presStyleCnt="2" custScaleX="89206" custLinFactNeighborX="-2076">
        <dgm:presLayoutVars>
          <dgm:bulletEnabled val="1"/>
        </dgm:presLayoutVars>
      </dgm:prSet>
      <dgm:spPr/>
      <dgm:t>
        <a:bodyPr/>
        <a:lstStyle/>
        <a:p>
          <a:endParaRPr lang="en-US"/>
        </a:p>
      </dgm:t>
    </dgm:pt>
  </dgm:ptLst>
  <dgm:cxnLst>
    <dgm:cxn modelId="{A1DA6442-D37C-41F4-8D02-A17F94DD5D24}" type="presOf" srcId="{D28D8CE6-E4EB-4375-A5A9-8AEF40602277}" destId="{4E036BB1-7C09-4381-8FFF-92734E115A22}" srcOrd="0" destOrd="0" presId="urn:microsoft.com/office/officeart/2005/8/layout/process1"/>
    <dgm:cxn modelId="{A720A4AA-CEA1-4D06-9A6E-823DC3355FC8}" type="presOf" srcId="{30EC4A04-5A73-47CA-A142-1AFC8C922733}" destId="{0CEA1154-2F6F-4C05-8E96-CF0C9B5227FF}" srcOrd="0" destOrd="0" presId="urn:microsoft.com/office/officeart/2005/8/layout/process1"/>
    <dgm:cxn modelId="{324C1386-FA61-45C9-8EF9-B4540E7B3B47}" srcId="{D28D8CE6-E4EB-4375-A5A9-8AEF40602277}" destId="{30EC4A04-5A73-47CA-A142-1AFC8C922733}" srcOrd="1" destOrd="0" parTransId="{4656A0DE-8513-4141-A59E-7246EABBBA25}" sibTransId="{FE393224-EAB9-4E79-A4D7-A89E5980A8A8}"/>
    <dgm:cxn modelId="{2DAB12E8-BA46-4823-88B0-7B6002E4D6DF}" type="presOf" srcId="{3F886B7D-AD57-4152-8B98-AA3BADEBAADB}" destId="{50175239-D20E-45C6-BAC0-9DF330FD0D40}" srcOrd="0" destOrd="0" presId="urn:microsoft.com/office/officeart/2005/8/layout/process1"/>
    <dgm:cxn modelId="{4FDD0424-C104-4701-BCD8-7A56709237A3}" srcId="{D28D8CE6-E4EB-4375-A5A9-8AEF40602277}" destId="{3F886B7D-AD57-4152-8B98-AA3BADEBAADB}" srcOrd="0" destOrd="0" parTransId="{CE6E24B9-A177-42D3-A246-5CE505B01E39}" sibTransId="{A0819A53-47DD-4AE6-BCE1-CEF0DB0F28C8}"/>
    <dgm:cxn modelId="{A88F4D1D-8EF4-49F2-A1C6-5C9734E93B5E}" type="presOf" srcId="{A0819A53-47DD-4AE6-BCE1-CEF0DB0F28C8}" destId="{E1D3AB28-C5C2-44C4-99EE-05B01C37A923}" srcOrd="0" destOrd="0" presId="urn:microsoft.com/office/officeart/2005/8/layout/process1"/>
    <dgm:cxn modelId="{ECFCD909-3C8E-494A-B9C6-65FD212118AE}" type="presOf" srcId="{A0819A53-47DD-4AE6-BCE1-CEF0DB0F28C8}" destId="{4C3A79A9-AAF4-41F2-B77C-6A53B885F7C3}" srcOrd="1" destOrd="0" presId="urn:microsoft.com/office/officeart/2005/8/layout/process1"/>
    <dgm:cxn modelId="{916C642D-EC04-4EA7-B983-7358B4A2D804}" type="presParOf" srcId="{4E036BB1-7C09-4381-8FFF-92734E115A22}" destId="{50175239-D20E-45C6-BAC0-9DF330FD0D40}" srcOrd="0" destOrd="0" presId="urn:microsoft.com/office/officeart/2005/8/layout/process1"/>
    <dgm:cxn modelId="{2BEEA867-D57D-4F81-B169-6E576598F8B2}" type="presParOf" srcId="{4E036BB1-7C09-4381-8FFF-92734E115A22}" destId="{E1D3AB28-C5C2-44C4-99EE-05B01C37A923}" srcOrd="1" destOrd="0" presId="urn:microsoft.com/office/officeart/2005/8/layout/process1"/>
    <dgm:cxn modelId="{800FBA61-FD2D-4F07-BA53-B511FEC5E424}" type="presParOf" srcId="{E1D3AB28-C5C2-44C4-99EE-05B01C37A923}" destId="{4C3A79A9-AAF4-41F2-B77C-6A53B885F7C3}" srcOrd="0" destOrd="0" presId="urn:microsoft.com/office/officeart/2005/8/layout/process1"/>
    <dgm:cxn modelId="{DB8BF39D-FAEF-4D2A-845D-02A48532F1AD}" type="presParOf" srcId="{4E036BB1-7C09-4381-8FFF-92734E115A22}" destId="{0CEA1154-2F6F-4C05-8E96-CF0C9B5227FF}" srcOrd="2" destOrd="0" presId="urn:microsoft.com/office/officeart/2005/8/layout/process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28D8CE6-E4EB-4375-A5A9-8AEF40602277}" type="doc">
      <dgm:prSet loTypeId="urn:microsoft.com/office/officeart/2005/8/layout/process1" loCatId="process" qsTypeId="urn:microsoft.com/office/officeart/2005/8/quickstyle/3d4" qsCatId="3D" csTypeId="urn:microsoft.com/office/officeart/2005/8/colors/accent1_2" csCatId="accent1" phldr="1"/>
      <dgm:spPr/>
      <dgm:t>
        <a:bodyPr/>
        <a:lstStyle/>
        <a:p>
          <a:endParaRPr lang="en-US"/>
        </a:p>
      </dgm:t>
    </dgm:pt>
    <dgm:pt modelId="{3F886B7D-AD57-4152-8B98-AA3BADEBAADB}">
      <dgm:prSet phldrT="[Text]" custT="1"/>
      <dgm:spPr/>
      <dgm:t>
        <a:bodyPr/>
        <a:lstStyle/>
        <a:p>
          <a:r>
            <a:rPr lang="en-US" sz="1000">
              <a:solidFill>
                <a:sysClr val="windowText" lastClr="FFFF00"/>
              </a:solidFill>
            </a:rPr>
            <a:t>Earned transfer credit in Native content from another institution that is not equivalent to CSOV 101</a:t>
          </a:r>
        </a:p>
      </dgm:t>
    </dgm:pt>
    <dgm:pt modelId="{CE6E24B9-A177-42D3-A246-5CE505B01E39}" type="parTrans" cxnId="{4FDD0424-C104-4701-BCD8-7A56709237A3}">
      <dgm:prSet/>
      <dgm:spPr/>
      <dgm:t>
        <a:bodyPr/>
        <a:lstStyle/>
        <a:p>
          <a:endParaRPr lang="en-US"/>
        </a:p>
      </dgm:t>
    </dgm:pt>
    <dgm:pt modelId="{A0819A53-47DD-4AE6-BCE1-CEF0DB0F28C8}" type="sibTrans" cxnId="{4FDD0424-C104-4701-BCD8-7A56709237A3}">
      <dgm:prSet/>
      <dgm:spPr/>
      <dgm:t>
        <a:bodyPr/>
        <a:lstStyle/>
        <a:p>
          <a:endParaRPr lang="en-US"/>
        </a:p>
      </dgm:t>
    </dgm:pt>
    <dgm:pt modelId="{30EC4A04-5A73-47CA-A142-1AFC8C922733}">
      <dgm:prSet phldrT="[Text]" custT="1"/>
      <dgm:spPr/>
      <dgm:t>
        <a:bodyPr/>
        <a:lstStyle/>
        <a:p>
          <a:r>
            <a:rPr lang="en-US" sz="1000">
              <a:solidFill>
                <a:sysClr val="windowText" lastClr="FFFF00"/>
              </a:solidFill>
            </a:rPr>
            <a:t>Consult with the Chair of the Native Studies Leadership department or delegate for further advising </a:t>
          </a:r>
        </a:p>
      </dgm:t>
    </dgm:pt>
    <dgm:pt modelId="{4656A0DE-8513-4141-A59E-7246EABBBA25}" type="parTrans" cxnId="{324C1386-FA61-45C9-8EF9-B4540E7B3B47}">
      <dgm:prSet/>
      <dgm:spPr/>
      <dgm:t>
        <a:bodyPr/>
        <a:lstStyle/>
        <a:p>
          <a:endParaRPr lang="en-US"/>
        </a:p>
      </dgm:t>
    </dgm:pt>
    <dgm:pt modelId="{FE393224-EAB9-4E79-A4D7-A89E5980A8A8}" type="sibTrans" cxnId="{324C1386-FA61-45C9-8EF9-B4540E7B3B47}">
      <dgm:prSet/>
      <dgm:spPr/>
      <dgm:t>
        <a:bodyPr/>
        <a:lstStyle/>
        <a:p>
          <a:endParaRPr lang="en-US"/>
        </a:p>
      </dgm:t>
    </dgm:pt>
    <dgm:pt modelId="{4E036BB1-7C09-4381-8FFF-92734E115A22}" type="pres">
      <dgm:prSet presAssocID="{D28D8CE6-E4EB-4375-A5A9-8AEF40602277}" presName="Name0" presStyleCnt="0">
        <dgm:presLayoutVars>
          <dgm:dir/>
          <dgm:resizeHandles val="exact"/>
        </dgm:presLayoutVars>
      </dgm:prSet>
      <dgm:spPr/>
      <dgm:t>
        <a:bodyPr/>
        <a:lstStyle/>
        <a:p>
          <a:endParaRPr lang="en-US"/>
        </a:p>
      </dgm:t>
    </dgm:pt>
    <dgm:pt modelId="{50175239-D20E-45C6-BAC0-9DF330FD0D40}" type="pres">
      <dgm:prSet presAssocID="{3F886B7D-AD57-4152-8B98-AA3BADEBAADB}" presName="node" presStyleLbl="node1" presStyleIdx="0" presStyleCnt="2" custLinFactNeighborX="-139">
        <dgm:presLayoutVars>
          <dgm:bulletEnabled val="1"/>
        </dgm:presLayoutVars>
      </dgm:prSet>
      <dgm:spPr/>
      <dgm:t>
        <a:bodyPr/>
        <a:lstStyle/>
        <a:p>
          <a:endParaRPr lang="en-US"/>
        </a:p>
      </dgm:t>
    </dgm:pt>
    <dgm:pt modelId="{E1D3AB28-C5C2-44C4-99EE-05B01C37A923}" type="pres">
      <dgm:prSet presAssocID="{A0819A53-47DD-4AE6-BCE1-CEF0DB0F28C8}" presName="sibTrans" presStyleLbl="sibTrans2D1" presStyleIdx="0" presStyleCnt="1"/>
      <dgm:spPr/>
      <dgm:t>
        <a:bodyPr/>
        <a:lstStyle/>
        <a:p>
          <a:endParaRPr lang="en-US"/>
        </a:p>
      </dgm:t>
    </dgm:pt>
    <dgm:pt modelId="{4C3A79A9-AAF4-41F2-B77C-6A53B885F7C3}" type="pres">
      <dgm:prSet presAssocID="{A0819A53-47DD-4AE6-BCE1-CEF0DB0F28C8}" presName="connectorText" presStyleLbl="sibTrans2D1" presStyleIdx="0" presStyleCnt="1"/>
      <dgm:spPr/>
      <dgm:t>
        <a:bodyPr/>
        <a:lstStyle/>
        <a:p>
          <a:endParaRPr lang="en-US"/>
        </a:p>
      </dgm:t>
    </dgm:pt>
    <dgm:pt modelId="{0CEA1154-2F6F-4C05-8E96-CF0C9B5227FF}" type="pres">
      <dgm:prSet presAssocID="{30EC4A04-5A73-47CA-A142-1AFC8C922733}" presName="node" presStyleLbl="node1" presStyleIdx="1" presStyleCnt="2" custScaleX="86688" custLinFactNeighborX="22221">
        <dgm:presLayoutVars>
          <dgm:bulletEnabled val="1"/>
        </dgm:presLayoutVars>
      </dgm:prSet>
      <dgm:spPr/>
      <dgm:t>
        <a:bodyPr/>
        <a:lstStyle/>
        <a:p>
          <a:endParaRPr lang="en-US"/>
        </a:p>
      </dgm:t>
    </dgm:pt>
  </dgm:ptLst>
  <dgm:cxnLst>
    <dgm:cxn modelId="{A6764D52-3C2D-4A43-BB84-D7AB6E78F60E}" type="presOf" srcId="{A0819A53-47DD-4AE6-BCE1-CEF0DB0F28C8}" destId="{4C3A79A9-AAF4-41F2-B77C-6A53B885F7C3}" srcOrd="1" destOrd="0" presId="urn:microsoft.com/office/officeart/2005/8/layout/process1"/>
    <dgm:cxn modelId="{67C6B20A-7A43-431E-966E-DA4B64AEA0BA}" type="presOf" srcId="{D28D8CE6-E4EB-4375-A5A9-8AEF40602277}" destId="{4E036BB1-7C09-4381-8FFF-92734E115A22}" srcOrd="0" destOrd="0" presId="urn:microsoft.com/office/officeart/2005/8/layout/process1"/>
    <dgm:cxn modelId="{4DE514D0-D5D5-4CD9-89EA-442D9A439063}" type="presOf" srcId="{3F886B7D-AD57-4152-8B98-AA3BADEBAADB}" destId="{50175239-D20E-45C6-BAC0-9DF330FD0D40}" srcOrd="0" destOrd="0" presId="urn:microsoft.com/office/officeart/2005/8/layout/process1"/>
    <dgm:cxn modelId="{E11D0197-2B7C-4150-87FE-D213D3970F9F}" type="presOf" srcId="{30EC4A04-5A73-47CA-A142-1AFC8C922733}" destId="{0CEA1154-2F6F-4C05-8E96-CF0C9B5227FF}" srcOrd="0" destOrd="0" presId="urn:microsoft.com/office/officeart/2005/8/layout/process1"/>
    <dgm:cxn modelId="{324C1386-FA61-45C9-8EF9-B4540E7B3B47}" srcId="{D28D8CE6-E4EB-4375-A5A9-8AEF40602277}" destId="{30EC4A04-5A73-47CA-A142-1AFC8C922733}" srcOrd="1" destOrd="0" parTransId="{4656A0DE-8513-4141-A59E-7246EABBBA25}" sibTransId="{FE393224-EAB9-4E79-A4D7-A89E5980A8A8}"/>
    <dgm:cxn modelId="{77FB2DF8-B859-4A8C-8BC3-863D4CFAFB7C}" type="presOf" srcId="{A0819A53-47DD-4AE6-BCE1-CEF0DB0F28C8}" destId="{E1D3AB28-C5C2-44C4-99EE-05B01C37A923}" srcOrd="0" destOrd="0" presId="urn:microsoft.com/office/officeart/2005/8/layout/process1"/>
    <dgm:cxn modelId="{4FDD0424-C104-4701-BCD8-7A56709237A3}" srcId="{D28D8CE6-E4EB-4375-A5A9-8AEF40602277}" destId="{3F886B7D-AD57-4152-8B98-AA3BADEBAADB}" srcOrd="0" destOrd="0" parTransId="{CE6E24B9-A177-42D3-A246-5CE505B01E39}" sibTransId="{A0819A53-47DD-4AE6-BCE1-CEF0DB0F28C8}"/>
    <dgm:cxn modelId="{FC3F7214-DFF8-4A29-80C1-F648D790224F}" type="presParOf" srcId="{4E036BB1-7C09-4381-8FFF-92734E115A22}" destId="{50175239-D20E-45C6-BAC0-9DF330FD0D40}" srcOrd="0" destOrd="0" presId="urn:microsoft.com/office/officeart/2005/8/layout/process1"/>
    <dgm:cxn modelId="{16980A98-36BE-4837-A875-DC4CC574DD4F}" type="presParOf" srcId="{4E036BB1-7C09-4381-8FFF-92734E115A22}" destId="{E1D3AB28-C5C2-44C4-99EE-05B01C37A923}" srcOrd="1" destOrd="0" presId="urn:microsoft.com/office/officeart/2005/8/layout/process1"/>
    <dgm:cxn modelId="{812729AA-D0B2-4517-AE06-85034624E152}" type="presParOf" srcId="{E1D3AB28-C5C2-44C4-99EE-05B01C37A923}" destId="{4C3A79A9-AAF4-41F2-B77C-6A53B885F7C3}" srcOrd="0" destOrd="0" presId="urn:microsoft.com/office/officeart/2005/8/layout/process1"/>
    <dgm:cxn modelId="{5D7807E3-1F8C-4C00-B084-13CFA9C5E41E}" type="presParOf" srcId="{4E036BB1-7C09-4381-8FFF-92734E115A22}" destId="{0CEA1154-2F6F-4C05-8E96-CF0C9B5227FF}" srcOrd="2" destOrd="0" presId="urn:microsoft.com/office/officeart/2005/8/layout/process1"/>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175239-D20E-45C6-BAC0-9DF330FD0D40}">
      <dsp:nvSpPr>
        <dsp:cNvPr id="0" name=""/>
        <dsp:cNvSpPr/>
      </dsp:nvSpPr>
      <dsp:spPr>
        <a:xfrm>
          <a:off x="0" y="0"/>
          <a:ext cx="2853818" cy="113879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FFFF00"/>
              </a:solidFill>
            </a:rPr>
            <a:t>Transfer with an associate's degree without having completed CSOV 101 or the equivalent</a:t>
          </a:r>
        </a:p>
        <a:p>
          <a:pPr lvl="0" algn="ctr" defTabSz="444500">
            <a:lnSpc>
              <a:spcPct val="90000"/>
            </a:lnSpc>
            <a:spcBef>
              <a:spcPct val="0"/>
            </a:spcBef>
            <a:spcAft>
              <a:spcPct val="35000"/>
            </a:spcAft>
          </a:pPr>
          <a:r>
            <a:rPr lang="en-US" sz="1000" kern="1200">
              <a:solidFill>
                <a:sysClr val="windowText" lastClr="FFFF00"/>
              </a:solidFill>
            </a:rPr>
            <a:t>OR</a:t>
          </a:r>
        </a:p>
        <a:p>
          <a:pPr lvl="0" algn="ctr" defTabSz="444500">
            <a:lnSpc>
              <a:spcPct val="90000"/>
            </a:lnSpc>
            <a:spcBef>
              <a:spcPct val="0"/>
            </a:spcBef>
            <a:spcAft>
              <a:spcPct val="35000"/>
            </a:spcAft>
          </a:pPr>
          <a:r>
            <a:rPr lang="en-US" sz="1000" kern="1200">
              <a:solidFill>
                <a:sysClr val="windowText" lastClr="FFFF00"/>
              </a:solidFill>
            </a:rPr>
            <a:t>Continue at NWIC following completion of an associate's degree that did not contain CSOV 101 or equivalent</a:t>
          </a:r>
        </a:p>
      </dsp:txBody>
      <dsp:txXfrm>
        <a:off x="33354" y="33354"/>
        <a:ext cx="2787110" cy="1072085"/>
      </dsp:txXfrm>
    </dsp:sp>
    <dsp:sp modelId="{E1D3AB28-C5C2-44C4-99EE-05B01C37A923}">
      <dsp:nvSpPr>
        <dsp:cNvPr id="0" name=""/>
        <dsp:cNvSpPr/>
      </dsp:nvSpPr>
      <dsp:spPr>
        <a:xfrm>
          <a:off x="3139662" y="215523"/>
          <a:ext cx="605988" cy="707746"/>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55600">
            <a:lnSpc>
              <a:spcPct val="90000"/>
            </a:lnSpc>
            <a:spcBef>
              <a:spcPct val="0"/>
            </a:spcBef>
            <a:spcAft>
              <a:spcPct val="35000"/>
            </a:spcAft>
          </a:pPr>
          <a:endParaRPr lang="en-US" sz="800" kern="1200"/>
        </a:p>
      </dsp:txBody>
      <dsp:txXfrm>
        <a:off x="3139662" y="357072"/>
        <a:ext cx="424192" cy="424648"/>
      </dsp:txXfrm>
    </dsp:sp>
    <dsp:sp modelId="{0CEA1154-2F6F-4C05-8E96-CF0C9B5227FF}">
      <dsp:nvSpPr>
        <dsp:cNvPr id="0" name=""/>
        <dsp:cNvSpPr/>
      </dsp:nvSpPr>
      <dsp:spPr>
        <a:xfrm>
          <a:off x="3997192" y="0"/>
          <a:ext cx="2553225" cy="1138793"/>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FFFF00"/>
              </a:solidFill>
            </a:rPr>
            <a:t>Complete CSOV 300</a:t>
          </a:r>
        </a:p>
      </dsp:txBody>
      <dsp:txXfrm>
        <a:off x="4030546" y="33354"/>
        <a:ext cx="2486517" cy="1072085"/>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175239-D20E-45C6-BAC0-9DF330FD0D40}">
      <dsp:nvSpPr>
        <dsp:cNvPr id="0" name=""/>
        <dsp:cNvSpPr/>
      </dsp:nvSpPr>
      <dsp:spPr>
        <a:xfrm>
          <a:off x="0" y="0"/>
          <a:ext cx="2881589" cy="1157844"/>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lang="en-US" sz="1050" kern="1200">
              <a:solidFill>
                <a:sysClr val="windowText" lastClr="FFFF00"/>
              </a:solidFill>
            </a:rPr>
            <a:t>Completed CSOV 101 or the equivalent  </a:t>
          </a:r>
          <a:br>
            <a:rPr lang="en-US" sz="1050" kern="1200">
              <a:solidFill>
                <a:sysClr val="windowText" lastClr="FFFF00"/>
              </a:solidFill>
            </a:rPr>
          </a:br>
          <a:endParaRPr lang="en-US" sz="1050" kern="1200">
            <a:solidFill>
              <a:sysClr val="windowText" lastClr="FFFF00"/>
            </a:solidFill>
          </a:endParaRPr>
        </a:p>
      </dsp:txBody>
      <dsp:txXfrm>
        <a:off x="33912" y="33912"/>
        <a:ext cx="2813765" cy="1090020"/>
      </dsp:txXfrm>
    </dsp:sp>
    <dsp:sp modelId="{E1D3AB28-C5C2-44C4-99EE-05B01C37A923}">
      <dsp:nvSpPr>
        <dsp:cNvPr id="0" name=""/>
        <dsp:cNvSpPr/>
      </dsp:nvSpPr>
      <dsp:spPr>
        <a:xfrm>
          <a:off x="3164246" y="221604"/>
          <a:ext cx="599232" cy="714634"/>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333500">
            <a:lnSpc>
              <a:spcPct val="90000"/>
            </a:lnSpc>
            <a:spcBef>
              <a:spcPct val="0"/>
            </a:spcBef>
            <a:spcAft>
              <a:spcPct val="35000"/>
            </a:spcAft>
          </a:pPr>
          <a:endParaRPr lang="en-US" sz="3000" kern="1200"/>
        </a:p>
      </dsp:txBody>
      <dsp:txXfrm>
        <a:off x="3164246" y="364531"/>
        <a:ext cx="419462" cy="428780"/>
      </dsp:txXfrm>
    </dsp:sp>
    <dsp:sp modelId="{0CEA1154-2F6F-4C05-8E96-CF0C9B5227FF}">
      <dsp:nvSpPr>
        <dsp:cNvPr id="0" name=""/>
        <dsp:cNvSpPr/>
      </dsp:nvSpPr>
      <dsp:spPr>
        <a:xfrm>
          <a:off x="4012217" y="0"/>
          <a:ext cx="2570550" cy="1157844"/>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88950">
            <a:lnSpc>
              <a:spcPct val="90000"/>
            </a:lnSpc>
            <a:spcBef>
              <a:spcPct val="0"/>
            </a:spcBef>
            <a:spcAft>
              <a:spcPct val="35000"/>
            </a:spcAft>
          </a:pPr>
          <a:r>
            <a:rPr lang="en-US" sz="1100" kern="1200">
              <a:solidFill>
                <a:sysClr val="windowText" lastClr="FFFF00"/>
              </a:solidFill>
            </a:rPr>
            <a:t>Complete five upper-division </a:t>
          </a:r>
        </a:p>
        <a:p>
          <a:pPr lvl="0" algn="ctr" defTabSz="488950">
            <a:lnSpc>
              <a:spcPct val="90000"/>
            </a:lnSpc>
            <a:spcBef>
              <a:spcPct val="0"/>
            </a:spcBef>
            <a:spcAft>
              <a:spcPct val="35000"/>
            </a:spcAft>
          </a:pPr>
          <a:r>
            <a:rPr lang="en-US" sz="1100" kern="1200">
              <a:solidFill>
                <a:sysClr val="windowText" lastClr="FFFF00"/>
              </a:solidFill>
            </a:rPr>
            <a:t>elective credits in place of CSOV 300</a:t>
          </a:r>
        </a:p>
      </dsp:txBody>
      <dsp:txXfrm>
        <a:off x="4046129" y="33912"/>
        <a:ext cx="2502726" cy="109002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175239-D20E-45C6-BAC0-9DF330FD0D40}">
      <dsp:nvSpPr>
        <dsp:cNvPr id="0" name=""/>
        <dsp:cNvSpPr/>
      </dsp:nvSpPr>
      <dsp:spPr>
        <a:xfrm>
          <a:off x="5" y="0"/>
          <a:ext cx="2913858" cy="1128156"/>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FFFF00"/>
              </a:solidFill>
            </a:rPr>
            <a:t>Earned transfer credit in Native content from another institution that is not equivalent to CSOV 101</a:t>
          </a:r>
        </a:p>
      </dsp:txBody>
      <dsp:txXfrm>
        <a:off x="33048" y="33043"/>
        <a:ext cx="2847772" cy="1062070"/>
      </dsp:txXfrm>
    </dsp:sp>
    <dsp:sp modelId="{E1D3AB28-C5C2-44C4-99EE-05B01C37A923}">
      <dsp:nvSpPr>
        <dsp:cNvPr id="0" name=""/>
        <dsp:cNvSpPr/>
      </dsp:nvSpPr>
      <dsp:spPr>
        <a:xfrm>
          <a:off x="3206060" y="202759"/>
          <a:ext cx="619458" cy="722636"/>
        </a:xfrm>
        <a:prstGeom prst="rightArrow">
          <a:avLst>
            <a:gd name="adj1" fmla="val 60000"/>
            <a:gd name="adj2" fmla="val 50000"/>
          </a:avLst>
        </a:prstGeom>
        <a:solidFill>
          <a:schemeClr val="accent1">
            <a:tint val="60000"/>
            <a:hueOff val="0"/>
            <a:satOff val="0"/>
            <a:lumOff val="0"/>
            <a:alphaOff val="0"/>
          </a:schemeClr>
        </a:solidFill>
        <a:ln>
          <a:noFill/>
        </a:ln>
        <a:effectLst/>
        <a:scene3d>
          <a:camera prst="orthographicFront"/>
          <a:lightRig rig="chilly" dir="t"/>
        </a:scene3d>
        <a:sp3d z="-70000" extrusionH="1700" prstMaterial="translucentPowder">
          <a:bevelT w="25400" h="6350" prst="softRound"/>
          <a:bevelB w="0" h="0" prst="convex"/>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1377950">
            <a:lnSpc>
              <a:spcPct val="90000"/>
            </a:lnSpc>
            <a:spcBef>
              <a:spcPct val="0"/>
            </a:spcBef>
            <a:spcAft>
              <a:spcPct val="35000"/>
            </a:spcAft>
          </a:pPr>
          <a:endParaRPr lang="en-US" sz="3100" kern="1200"/>
        </a:p>
      </dsp:txBody>
      <dsp:txXfrm>
        <a:off x="3206060" y="347286"/>
        <a:ext cx="433621" cy="433582"/>
      </dsp:txXfrm>
    </dsp:sp>
    <dsp:sp modelId="{0CEA1154-2F6F-4C05-8E96-CF0C9B5227FF}">
      <dsp:nvSpPr>
        <dsp:cNvPr id="0" name=""/>
        <dsp:cNvSpPr/>
      </dsp:nvSpPr>
      <dsp:spPr>
        <a:xfrm>
          <a:off x="4082652" y="0"/>
          <a:ext cx="2525965" cy="1128156"/>
        </a:xfrm>
        <a:prstGeom prst="roundRect">
          <a:avLst>
            <a:gd name="adj" fmla="val 10000"/>
          </a:avLst>
        </a:prstGeom>
        <a:solidFill>
          <a:schemeClr val="accent1">
            <a:hueOff val="0"/>
            <a:satOff val="0"/>
            <a:lumOff val="0"/>
            <a:alphaOff val="0"/>
          </a:schemeClr>
        </a:solidFill>
        <a:ln>
          <a:noFill/>
        </a:ln>
        <a:effectLst/>
        <a:scene3d>
          <a:camera prst="orthographicFront"/>
          <a:lightRig rig="chilly" dir="t"/>
        </a:scene3d>
        <a:sp3d prstMaterial="translucentPowder">
          <a:bevelT w="127000" h="25400" prst="softRound"/>
        </a:sp3d>
      </dsp:spPr>
      <dsp:style>
        <a:lnRef idx="0">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n-US" sz="1000" kern="1200">
              <a:solidFill>
                <a:sysClr val="windowText" lastClr="FFFF00"/>
              </a:solidFill>
            </a:rPr>
            <a:t>Consult with the Chair of the Native Studies Leadership department or delegate for further advising </a:t>
          </a:r>
        </a:p>
      </dsp:txBody>
      <dsp:txXfrm>
        <a:off x="4115695" y="33043"/>
        <a:ext cx="2459879" cy="106207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4">
  <dgm:title val=""/>
  <dgm:desc val=""/>
  <dgm:catLst>
    <dgm:cat type="3D" pri="11400"/>
  </dgm:catLst>
  <dgm:scene3d>
    <a:camera prst="orthographicFront"/>
    <a:lightRig rig="threePt" dir="t"/>
  </dgm:scene3d>
  <dgm:styleLbl name="node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venn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lightRig rig="chilly" dir="t"/>
    </dgm:scene3d>
    <dgm:sp3d prstMaterial="translucentPowder">
      <a:bevelT w="127000" h="25400" prst="softRound"/>
    </dgm:sp3d>
    <dgm:txPr/>
    <dgm:style>
      <a:lnRef idx="1">
        <a:scrgbClr r="0" g="0" b="0"/>
      </a:lnRef>
      <a:fillRef idx="1">
        <a:scrgbClr r="0" g="0" b="0"/>
      </a:fillRef>
      <a:effectRef idx="0">
        <a:scrgbClr r="0" g="0" b="0"/>
      </a:effectRef>
      <a:fontRef idx="minor">
        <a:schemeClr val="lt1"/>
      </a:fontRef>
    </dgm:style>
  </dgm:styleLbl>
  <dgm:styleLbl name="nod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node4">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fgImgPlace1">
    <dgm:scene3d>
      <a:camera prst="orthographicFront"/>
      <a:lightRig rig="chilly" dir="t"/>
    </dgm:scene3d>
    <dgm:sp3d z="12700" extrusionH="12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alignImgPlace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bgImgPlace1">
    <dgm:scene3d>
      <a:camera prst="orthographicFront"/>
      <a:lightRig rig="chilly" dir="t"/>
    </dgm:scene3d>
    <dgm:sp3d z="-257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chilly" dir="t"/>
    </dgm:scene3d>
    <dgm:sp3d z="-70000" extrusionH="1700" prstMaterial="translucentPowder">
      <a:bevelT w="25400" h="6350" prst="softRound"/>
      <a:bevelB w="0" h="0" prst="convex"/>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bgSibTrans2D1">
    <dgm:scene3d>
      <a:camera prst="orthographicFront"/>
      <a:lightRig rig="chilly" dir="t"/>
    </dgm:scene3d>
    <dgm:sp3d z="-25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sibTrans1D1">
    <dgm:scene3d>
      <a:camera prst="orthographicFront"/>
      <a:lightRig rig="chilly"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chilly"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1">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2">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asst3">
    <dgm:scene3d>
      <a:camera prst="orthographicFront"/>
      <a:lightRig rig="chilly" dir="t"/>
    </dgm:scene3d>
    <dgm:sp3d prstMaterial="translucentPowder">
      <a:bevelT w="127000" h="25400" prst="softRound"/>
    </dgm:sp3d>
    <dgm:txPr/>
    <dgm:style>
      <a:lnRef idx="0">
        <a:scrgbClr r="0" g="0" b="0"/>
      </a:lnRef>
      <a:fillRef idx="1">
        <a:scrgbClr r="0" g="0" b="0"/>
      </a:fillRef>
      <a:effectRef idx="0">
        <a:scrgbClr r="0" g="0" b="0"/>
      </a:effectRef>
      <a:fontRef idx="minor">
        <a:schemeClr val="lt1"/>
      </a:fontRef>
    </dgm:style>
  </dgm:styleLbl>
  <dgm:styleLbl name="parChTrans2D1">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2">
    <dgm:scene3d>
      <a:camera prst="orthographicFront"/>
      <a:lightRig rig="chilly" dir="t"/>
    </dgm:scene3d>
    <dgm:sp3d z="1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3">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2D4">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parChTrans1D1">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chilly" dir="t"/>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con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1">
    <dgm:scene3d>
      <a:camera prst="orthographicFront"/>
      <a:lightRig rig="chilly" dir="t"/>
    </dgm:scene3d>
    <dgm:sp3d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trAlignAcc1">
    <dgm:scene3d>
      <a:camera prst="orthographicFront"/>
      <a:lightRig rig="chilly" dir="t"/>
    </dgm:scene3d>
    <dgm:sp3d prstMaterial="dkEdge">
      <a:bevelT w="127000" h="25400"/>
    </dgm:sp3d>
    <dgm:txPr/>
    <dgm:style>
      <a:lnRef idx="1">
        <a:scrgbClr r="0" g="0" b="0"/>
      </a:lnRef>
      <a:fillRef idx="1">
        <a:scrgbClr r="0" g="0" b="0"/>
      </a:fillRef>
      <a:effectRef idx="0">
        <a:scrgbClr r="0" g="0" b="0"/>
      </a:effectRef>
      <a:fontRef idx="minor">
        <a:schemeClr val="lt1"/>
      </a:fontRef>
    </dgm:style>
  </dgm:styleLbl>
  <dgm:styleLbl name="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F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AlignAcc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solidBgAcc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chilly" dir="t"/>
    </dgm:scene3d>
    <dgm:sp3d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AccFollowNode1">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0">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2">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3">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fgAcc4">
    <dgm:scene3d>
      <a:camera prst="orthographicFront"/>
      <a:lightRig rig="chilly" dir="t"/>
    </dgm:scene3d>
    <dgm:sp3d z="12700" extrusionH="1700" prstMaterial="dkEdge">
      <a:bevelT w="25400" h="6350" prst="softRound"/>
      <a:bevelB w="0" h="0" prst="convex"/>
    </dgm:sp3d>
    <dgm:txPr/>
    <dgm:style>
      <a:lnRef idx="1">
        <a:scrgbClr r="0" g="0" b="0"/>
      </a:lnRef>
      <a:fillRef idx="1">
        <a:scrgbClr r="0" g="0" b="0"/>
      </a:fillRef>
      <a:effectRef idx="0">
        <a:scrgbClr r="0" g="0" b="0"/>
      </a:effectRef>
      <a:fontRef idx="minor"/>
    </dgm:style>
  </dgm:styleLbl>
  <dgm:styleLbl name="b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dkBgShp">
    <dgm:scene3d>
      <a:camera prst="orthographicFront"/>
      <a:lightRig rig="chilly" dir="t"/>
    </dgm:scene3d>
    <dgm:sp3d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trBgShp">
    <dgm:scene3d>
      <a:camera prst="orthographicFront"/>
      <a:lightRig rig="chilly"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chilly" dir="t"/>
    </dgm:scene3d>
    <dgm:sp3d z="12700" extrusionH="1700" prstMaterial="translucentPowder">
      <a:bevelT w="25400" h="6350" prst="softRound"/>
      <a:bevelB w="0" h="0" prst="convex"/>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73.84615" units="1/cm"/>
          <inkml:channelProperty channel="Y" name="resolution" value="77.14286" units="1/cm"/>
        </inkml:channelProperties>
      </inkml:inkSource>
      <inkml:timestamp xml:id="ts0" timeString="2013-07-18T04:22:36.689"/>
    </inkml:context>
    <inkml:brush xml:id="br0">
      <inkml:brushProperty name="width" value="0.1" units="cm"/>
      <inkml:brushProperty name="height" value="0.1" units="cm"/>
      <inkml:brushProperty name="fitToCurve" value="1"/>
    </inkml:brush>
  </inkml:definitions>
  <inkml:trace contextRef="#ctx0" brushRef="#br0">0 0</inkml:trace>
</inkml:ink>
</file>

<file path=word/ink/ink2.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73.84615" units="1/cm"/>
          <inkml:channelProperty channel="Y" name="resolution" value="77.14286" units="1/cm"/>
        </inkml:channelProperties>
      </inkml:inkSource>
      <inkml:timestamp xml:id="ts0" timeString="2013-07-18T04:22:36.439"/>
    </inkml:context>
    <inkml:brush xml:id="br0">
      <inkml:brushProperty name="width" value="0.1" units="cm"/>
      <inkml:brushProperty name="height" value="0.1" units="cm"/>
      <inkml:brushProperty name="fitToCurve" value="1"/>
    </inkml:brush>
  </inkml:definitions>
  <inkml:trace contextRef="#ctx0" brushRef="#br0">0 0</inkml:trace>
</inkml:ink>
</file>

<file path=word/ink/ink3.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73.84615" units="1/cm"/>
          <inkml:channelProperty channel="Y" name="resolution" value="77.14286" units="1/cm"/>
        </inkml:channelProperties>
      </inkml:inkSource>
      <inkml:timestamp xml:id="ts0" timeString="2013-07-18T04:22:36.236"/>
    </inkml:context>
    <inkml:brush xml:id="br0">
      <inkml:brushProperty name="width" value="0.1" units="cm"/>
      <inkml:brushProperty name="height" value="0.1" units="cm"/>
      <inkml:brushProperty name="fitToCurve" value="1"/>
    </inkml:brush>
  </inkml:definitions>
  <inkml:trace contextRef="#ctx0" brushRef="#br0">0 0</inkml:trace>
</inkml:ink>
</file>

<file path=word/theme/theme1.xml><?xml version="1.0" encoding="utf-8"?>
<a:theme xmlns:a="http://schemas.openxmlformats.org/drawingml/2006/main" name="Office Theme">
  <a:themeElements>
    <a:clrScheme name="Office">
      <a:dk1>
        <a:sysClr val="windowText" lastClr="FFFF00"/>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1CD86-D946-4C86-8203-C8C1EA767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882</Words>
  <Characters>5028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Williams</dc:creator>
  <cp:lastModifiedBy>Ted Williams</cp:lastModifiedBy>
  <cp:revision>3</cp:revision>
  <cp:lastPrinted>2016-07-11T19:49:00Z</cp:lastPrinted>
  <dcterms:created xsi:type="dcterms:W3CDTF">2016-08-10T23:15:00Z</dcterms:created>
  <dcterms:modified xsi:type="dcterms:W3CDTF">2016-08-10T23:15:00Z</dcterms:modified>
</cp:coreProperties>
</file>